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388" w:rsidRPr="00811416" w:rsidRDefault="00811416">
      <w:pPr>
        <w:rPr>
          <w:rFonts w:ascii="David" w:hAnsi="David" w:cs="David"/>
          <w:b/>
          <w:bCs/>
          <w:sz w:val="24"/>
          <w:szCs w:val="24"/>
          <w:rtl/>
        </w:rPr>
      </w:pPr>
      <w:bookmarkStart w:id="0" w:name="_GoBack"/>
      <w:bookmarkEnd w:id="0"/>
      <w:r w:rsidRPr="00811416">
        <w:rPr>
          <w:rFonts w:ascii="David" w:hAnsi="David" w:cs="David"/>
          <w:b/>
          <w:bCs/>
          <w:sz w:val="24"/>
          <w:szCs w:val="24"/>
          <w:u w:val="single"/>
          <w:rtl/>
        </w:rPr>
        <w:t>בבית הדין האזורי לעבודה בחיפה</w:t>
      </w:r>
      <w:r w:rsidRPr="00811416">
        <w:rPr>
          <w:rFonts w:ascii="David" w:hAnsi="David" w:cs="David"/>
          <w:b/>
          <w:bCs/>
          <w:sz w:val="24"/>
          <w:szCs w:val="24"/>
          <w:rtl/>
        </w:rPr>
        <w:tab/>
      </w:r>
      <w:r w:rsidRPr="00811416">
        <w:rPr>
          <w:rFonts w:ascii="David" w:hAnsi="David" w:cs="David"/>
          <w:b/>
          <w:bCs/>
          <w:sz w:val="24"/>
          <w:szCs w:val="24"/>
          <w:rtl/>
        </w:rPr>
        <w:tab/>
      </w:r>
      <w:r w:rsidRPr="00811416">
        <w:rPr>
          <w:rFonts w:ascii="David" w:hAnsi="David" w:cs="David"/>
          <w:b/>
          <w:bCs/>
          <w:sz w:val="24"/>
          <w:szCs w:val="24"/>
          <w:rtl/>
        </w:rPr>
        <w:tab/>
      </w:r>
      <w:r w:rsidRPr="00811416">
        <w:rPr>
          <w:rFonts w:ascii="David" w:hAnsi="David" w:cs="David" w:hint="cs"/>
          <w:b/>
          <w:bCs/>
          <w:sz w:val="24"/>
          <w:szCs w:val="24"/>
          <w:rtl/>
        </w:rPr>
        <w:tab/>
      </w:r>
      <w:r w:rsidRPr="00811416">
        <w:rPr>
          <w:rFonts w:ascii="David" w:hAnsi="David" w:cs="David"/>
          <w:b/>
          <w:bCs/>
          <w:sz w:val="24"/>
          <w:szCs w:val="24"/>
          <w:rtl/>
        </w:rPr>
        <w:tab/>
        <w:t xml:space="preserve">פ"ה 48936-05-18 </w:t>
      </w:r>
    </w:p>
    <w:p w:rsidR="00811416" w:rsidRDefault="00811416">
      <w:pPr>
        <w:rPr>
          <w:rFonts w:ascii="David" w:hAnsi="David" w:cs="David"/>
          <w:sz w:val="24"/>
          <w:szCs w:val="24"/>
          <w:rtl/>
        </w:rPr>
      </w:pPr>
    </w:p>
    <w:p w:rsidR="00811416" w:rsidRPr="00811416" w:rsidRDefault="00811416" w:rsidP="00811416">
      <w:pPr>
        <w:ind w:left="4320" w:firstLine="720"/>
        <w:rPr>
          <w:rFonts w:ascii="David" w:hAnsi="David" w:cs="David"/>
          <w:b/>
          <w:bCs/>
          <w:sz w:val="24"/>
          <w:szCs w:val="24"/>
          <w:u w:val="single"/>
          <w:rtl/>
        </w:rPr>
      </w:pPr>
      <w:r w:rsidRPr="00811416">
        <w:rPr>
          <w:rFonts w:ascii="David" w:hAnsi="David" w:cs="David"/>
          <w:b/>
          <w:bCs/>
          <w:sz w:val="24"/>
          <w:szCs w:val="24"/>
          <w:u w:val="single"/>
          <w:rtl/>
        </w:rPr>
        <w:t>בפני כב' השופטת מיכל פריימן</w:t>
      </w:r>
    </w:p>
    <w:p w:rsidR="00811416" w:rsidRPr="00811416" w:rsidRDefault="00811416" w:rsidP="00811416">
      <w:pPr>
        <w:ind w:left="5040"/>
        <w:rPr>
          <w:rFonts w:ascii="David" w:hAnsi="David" w:cs="David"/>
          <w:b/>
          <w:bCs/>
          <w:sz w:val="24"/>
          <w:szCs w:val="24"/>
          <w:rtl/>
        </w:rPr>
      </w:pPr>
      <w:r w:rsidRPr="00811416">
        <w:rPr>
          <w:rFonts w:ascii="David" w:hAnsi="David" w:cs="David"/>
          <w:b/>
          <w:bCs/>
          <w:sz w:val="24"/>
          <w:szCs w:val="24"/>
          <w:rtl/>
        </w:rPr>
        <w:t xml:space="preserve">קבוע לדיון בצו זמני ביום 30.5.18, בשעה 14:00 </w:t>
      </w:r>
    </w:p>
    <w:p w:rsidR="00811416" w:rsidRPr="00811416" w:rsidRDefault="00811416">
      <w:pPr>
        <w:rPr>
          <w:rFonts w:ascii="David" w:hAnsi="David" w:cs="David"/>
          <w:b/>
          <w:bCs/>
          <w:sz w:val="24"/>
          <w:szCs w:val="24"/>
          <w:rtl/>
        </w:rPr>
      </w:pPr>
    </w:p>
    <w:p w:rsidR="00811416" w:rsidRPr="00811416" w:rsidRDefault="00811416">
      <w:pPr>
        <w:rPr>
          <w:rFonts w:ascii="David" w:hAnsi="David" w:cs="David"/>
          <w:b/>
          <w:bCs/>
          <w:sz w:val="24"/>
          <w:szCs w:val="24"/>
          <w:rtl/>
        </w:rPr>
      </w:pPr>
      <w:r w:rsidRPr="00811416">
        <w:rPr>
          <w:rFonts w:ascii="David" w:hAnsi="David" w:cs="David"/>
          <w:b/>
          <w:bCs/>
          <w:sz w:val="24"/>
          <w:szCs w:val="24"/>
          <w:rtl/>
        </w:rPr>
        <w:t xml:space="preserve">בעניין שבין: </w:t>
      </w:r>
      <w:r w:rsidRPr="00811416">
        <w:rPr>
          <w:rFonts w:ascii="David" w:hAnsi="David" w:cs="David"/>
          <w:b/>
          <w:bCs/>
          <w:sz w:val="24"/>
          <w:szCs w:val="24"/>
          <w:rtl/>
        </w:rPr>
        <w:tab/>
      </w:r>
      <w:r w:rsidRPr="00811416">
        <w:rPr>
          <w:rFonts w:ascii="David" w:hAnsi="David" w:cs="David"/>
          <w:b/>
          <w:bCs/>
          <w:sz w:val="24"/>
          <w:szCs w:val="24"/>
          <w:rtl/>
        </w:rPr>
        <w:tab/>
        <w:t>עזרן אילן ת.ז. 024648248</w:t>
      </w:r>
    </w:p>
    <w:p w:rsidR="00811416" w:rsidRPr="00811416" w:rsidRDefault="00811416">
      <w:pPr>
        <w:rPr>
          <w:rFonts w:ascii="David" w:hAnsi="David" w:cs="David"/>
          <w:sz w:val="24"/>
          <w:szCs w:val="24"/>
          <w:rtl/>
        </w:rPr>
      </w:pPr>
      <w:r w:rsidRPr="00811416">
        <w:rPr>
          <w:rFonts w:ascii="David" w:hAnsi="David" w:cs="David"/>
          <w:sz w:val="24"/>
          <w:szCs w:val="24"/>
          <w:rtl/>
        </w:rPr>
        <w:tab/>
      </w:r>
      <w:r w:rsidRPr="00811416">
        <w:rPr>
          <w:rFonts w:ascii="David" w:hAnsi="David" w:cs="David"/>
          <w:sz w:val="24"/>
          <w:szCs w:val="24"/>
          <w:rtl/>
        </w:rPr>
        <w:tab/>
      </w:r>
      <w:r w:rsidRPr="00811416">
        <w:rPr>
          <w:rFonts w:ascii="David" w:hAnsi="David" w:cs="David"/>
          <w:sz w:val="24"/>
          <w:szCs w:val="24"/>
          <w:rtl/>
        </w:rPr>
        <w:tab/>
        <w:t>ע"י ב"כ עו"ד שלומי כהן ואח'</w:t>
      </w:r>
    </w:p>
    <w:p w:rsidR="00811416" w:rsidRPr="00811416" w:rsidRDefault="00811416">
      <w:pPr>
        <w:rPr>
          <w:rFonts w:ascii="David" w:hAnsi="David" w:cs="David"/>
          <w:sz w:val="24"/>
          <w:szCs w:val="24"/>
          <w:rtl/>
        </w:rPr>
      </w:pPr>
      <w:r w:rsidRPr="00811416">
        <w:rPr>
          <w:rFonts w:ascii="David" w:hAnsi="David" w:cs="David"/>
          <w:sz w:val="24"/>
          <w:szCs w:val="24"/>
          <w:rtl/>
        </w:rPr>
        <w:tab/>
      </w:r>
      <w:r w:rsidRPr="00811416">
        <w:rPr>
          <w:rFonts w:ascii="David" w:hAnsi="David" w:cs="David"/>
          <w:sz w:val="24"/>
          <w:szCs w:val="24"/>
          <w:rtl/>
        </w:rPr>
        <w:tab/>
      </w:r>
      <w:r w:rsidRPr="00811416">
        <w:rPr>
          <w:rFonts w:ascii="David" w:hAnsi="David" w:cs="David"/>
          <w:sz w:val="24"/>
          <w:szCs w:val="24"/>
          <w:rtl/>
        </w:rPr>
        <w:tab/>
        <w:t xml:space="preserve">מרח' העמקים 3, קרית ביאליק </w:t>
      </w:r>
    </w:p>
    <w:p w:rsidR="00811416" w:rsidRPr="00811416" w:rsidRDefault="00811416">
      <w:pPr>
        <w:rPr>
          <w:rFonts w:ascii="David" w:hAnsi="David" w:cs="David"/>
          <w:b/>
          <w:bCs/>
          <w:sz w:val="24"/>
          <w:szCs w:val="24"/>
          <w:u w:val="single"/>
          <w:rtl/>
        </w:rPr>
      </w:pPr>
      <w:r w:rsidRPr="00811416">
        <w:rPr>
          <w:rFonts w:ascii="David" w:hAnsi="David" w:cs="David"/>
          <w:sz w:val="24"/>
          <w:szCs w:val="24"/>
          <w:rtl/>
        </w:rPr>
        <w:tab/>
      </w:r>
      <w:r w:rsidRPr="00811416">
        <w:rPr>
          <w:rFonts w:ascii="David" w:hAnsi="David" w:cs="David"/>
          <w:sz w:val="24"/>
          <w:szCs w:val="24"/>
          <w:rtl/>
        </w:rPr>
        <w:tab/>
      </w:r>
      <w:r w:rsidRPr="00811416">
        <w:rPr>
          <w:rFonts w:ascii="David" w:hAnsi="David" w:cs="David"/>
          <w:sz w:val="24"/>
          <w:szCs w:val="24"/>
          <w:rtl/>
        </w:rPr>
        <w:tab/>
        <w:t>טל: 04-8555099, פקס: 04-8555110</w:t>
      </w:r>
      <w:r w:rsidRPr="00811416">
        <w:rPr>
          <w:rFonts w:ascii="David" w:hAnsi="David" w:cs="David"/>
          <w:sz w:val="24"/>
          <w:szCs w:val="24"/>
          <w:rtl/>
        </w:rPr>
        <w:tab/>
      </w:r>
      <w:r w:rsidRPr="00811416">
        <w:rPr>
          <w:rFonts w:ascii="David" w:hAnsi="David" w:cs="David"/>
          <w:sz w:val="24"/>
          <w:szCs w:val="24"/>
          <w:rtl/>
        </w:rPr>
        <w:tab/>
      </w:r>
      <w:r w:rsidRPr="00811416">
        <w:rPr>
          <w:rFonts w:ascii="David" w:hAnsi="David" w:cs="David"/>
          <w:b/>
          <w:bCs/>
          <w:sz w:val="24"/>
          <w:szCs w:val="24"/>
          <w:u w:val="single"/>
          <w:rtl/>
        </w:rPr>
        <w:t>המבקש</w:t>
      </w:r>
    </w:p>
    <w:p w:rsidR="00811416" w:rsidRPr="00811416" w:rsidRDefault="00811416">
      <w:pPr>
        <w:rPr>
          <w:rFonts w:ascii="David" w:hAnsi="David" w:cs="David"/>
          <w:b/>
          <w:bCs/>
          <w:sz w:val="24"/>
          <w:szCs w:val="24"/>
          <w:u w:val="single"/>
          <w:rtl/>
        </w:rPr>
      </w:pPr>
    </w:p>
    <w:p w:rsidR="00811416" w:rsidRPr="00811416" w:rsidRDefault="00811416" w:rsidP="00811416">
      <w:pPr>
        <w:ind w:left="1440" w:firstLine="720"/>
        <w:rPr>
          <w:rFonts w:ascii="David" w:hAnsi="David" w:cs="David"/>
          <w:sz w:val="24"/>
          <w:szCs w:val="24"/>
          <w:rtl/>
        </w:rPr>
      </w:pPr>
      <w:r w:rsidRPr="00811416">
        <w:rPr>
          <w:rFonts w:ascii="David" w:hAnsi="David" w:cs="David"/>
          <w:sz w:val="24"/>
          <w:szCs w:val="24"/>
          <w:rtl/>
        </w:rPr>
        <w:t xml:space="preserve"> נ  ג  ד  </w:t>
      </w:r>
    </w:p>
    <w:p w:rsidR="00811416" w:rsidRPr="00811416" w:rsidRDefault="00811416" w:rsidP="00811416">
      <w:pPr>
        <w:ind w:left="1440" w:firstLine="720"/>
        <w:rPr>
          <w:rFonts w:ascii="David" w:hAnsi="David" w:cs="David"/>
          <w:sz w:val="24"/>
          <w:szCs w:val="24"/>
          <w:rtl/>
        </w:rPr>
      </w:pPr>
    </w:p>
    <w:p w:rsidR="00811416" w:rsidRPr="00811416" w:rsidRDefault="00811416" w:rsidP="00811416">
      <w:pPr>
        <w:ind w:left="1440" w:firstLine="720"/>
        <w:rPr>
          <w:rFonts w:ascii="David" w:hAnsi="David" w:cs="David"/>
          <w:b/>
          <w:bCs/>
          <w:sz w:val="24"/>
          <w:szCs w:val="24"/>
          <w:rtl/>
        </w:rPr>
      </w:pPr>
      <w:r w:rsidRPr="00811416">
        <w:rPr>
          <w:rFonts w:ascii="David" w:hAnsi="David" w:cs="David"/>
          <w:b/>
          <w:bCs/>
          <w:sz w:val="24"/>
          <w:szCs w:val="24"/>
          <w:rtl/>
        </w:rPr>
        <w:t xml:space="preserve">מדינת ישראל/משרד הבריאות/מרכז רפואי רמב"ם </w:t>
      </w:r>
    </w:p>
    <w:p w:rsidR="00811416" w:rsidRPr="00811416" w:rsidRDefault="00811416" w:rsidP="00811416">
      <w:pPr>
        <w:ind w:left="1440" w:firstLine="720"/>
        <w:rPr>
          <w:rFonts w:ascii="David" w:hAnsi="David" w:cs="David"/>
          <w:sz w:val="24"/>
          <w:szCs w:val="24"/>
          <w:rtl/>
        </w:rPr>
      </w:pPr>
      <w:r w:rsidRPr="00811416">
        <w:rPr>
          <w:rFonts w:ascii="David" w:hAnsi="David" w:cs="David"/>
          <w:sz w:val="24"/>
          <w:szCs w:val="24"/>
          <w:rtl/>
        </w:rPr>
        <w:t>באמצעות פרקליטות מחוז חיפה (אזרחי)</w:t>
      </w:r>
    </w:p>
    <w:p w:rsidR="00811416" w:rsidRPr="00811416" w:rsidRDefault="00811416" w:rsidP="00811416">
      <w:pPr>
        <w:ind w:left="1440" w:firstLine="720"/>
        <w:rPr>
          <w:rFonts w:ascii="David" w:hAnsi="David" w:cs="David"/>
          <w:sz w:val="24"/>
          <w:szCs w:val="24"/>
          <w:rtl/>
        </w:rPr>
      </w:pPr>
      <w:r w:rsidRPr="00811416">
        <w:rPr>
          <w:rFonts w:ascii="David" w:hAnsi="David" w:cs="David"/>
          <w:sz w:val="24"/>
          <w:szCs w:val="24"/>
          <w:rtl/>
        </w:rPr>
        <w:t xml:space="preserve">משד' פלי"ם 15א, חיפה </w:t>
      </w:r>
    </w:p>
    <w:p w:rsidR="00811416" w:rsidRDefault="00811416" w:rsidP="00811416">
      <w:pPr>
        <w:ind w:left="1440" w:firstLine="720"/>
        <w:rPr>
          <w:rFonts w:ascii="David" w:hAnsi="David" w:cs="David"/>
          <w:sz w:val="24"/>
          <w:szCs w:val="24"/>
          <w:rtl/>
        </w:rPr>
      </w:pPr>
      <w:r w:rsidRPr="00811416">
        <w:rPr>
          <w:rFonts w:ascii="David" w:hAnsi="David" w:cs="David"/>
          <w:sz w:val="24"/>
          <w:szCs w:val="24"/>
          <w:rtl/>
        </w:rPr>
        <w:t xml:space="preserve">טל: 04-8633926, פקס: 04-8634011 </w:t>
      </w:r>
      <w:r w:rsidRPr="00811416">
        <w:rPr>
          <w:rFonts w:ascii="David" w:hAnsi="David" w:cs="David"/>
          <w:sz w:val="24"/>
          <w:szCs w:val="24"/>
          <w:rtl/>
        </w:rPr>
        <w:tab/>
      </w:r>
      <w:r w:rsidRPr="00811416">
        <w:rPr>
          <w:rFonts w:ascii="David" w:hAnsi="David" w:cs="David"/>
          <w:sz w:val="24"/>
          <w:szCs w:val="24"/>
          <w:rtl/>
        </w:rPr>
        <w:tab/>
      </w:r>
      <w:r w:rsidRPr="00811416">
        <w:rPr>
          <w:rFonts w:ascii="David" w:hAnsi="David" w:cs="David"/>
          <w:b/>
          <w:bCs/>
          <w:sz w:val="24"/>
          <w:szCs w:val="24"/>
          <w:u w:val="single"/>
          <w:rtl/>
        </w:rPr>
        <w:t>המשיבה</w:t>
      </w:r>
      <w:r w:rsidRPr="00811416">
        <w:rPr>
          <w:rFonts w:ascii="David" w:hAnsi="David" w:cs="David"/>
          <w:b/>
          <w:bCs/>
          <w:sz w:val="24"/>
          <w:szCs w:val="24"/>
          <w:rtl/>
        </w:rPr>
        <w:tab/>
      </w:r>
      <w:r w:rsidRPr="00811416">
        <w:rPr>
          <w:rFonts w:ascii="David" w:hAnsi="David" w:cs="David"/>
          <w:b/>
          <w:bCs/>
          <w:sz w:val="24"/>
          <w:szCs w:val="24"/>
          <w:rtl/>
        </w:rPr>
        <w:tab/>
      </w:r>
    </w:p>
    <w:p w:rsidR="003C4FD6" w:rsidRDefault="003C4FD6" w:rsidP="003C4FD6">
      <w:pPr>
        <w:ind w:firstLine="720"/>
        <w:rPr>
          <w:rFonts w:ascii="David" w:hAnsi="David" w:cs="David"/>
          <w:b/>
          <w:bCs/>
          <w:sz w:val="28"/>
          <w:szCs w:val="28"/>
          <w:u w:val="single"/>
          <w:rtl/>
        </w:rPr>
      </w:pPr>
      <w:r>
        <w:rPr>
          <w:rFonts w:ascii="David" w:hAnsi="David" w:cs="David" w:hint="cs"/>
          <w:b/>
          <w:bCs/>
          <w:sz w:val="28"/>
          <w:szCs w:val="28"/>
          <w:u w:val="single"/>
          <w:rtl/>
        </w:rPr>
        <w:t xml:space="preserve">תשובה </w:t>
      </w:r>
      <w:r w:rsidR="00811416" w:rsidRPr="00811416">
        <w:rPr>
          <w:rFonts w:ascii="David" w:hAnsi="David" w:cs="David" w:hint="cs"/>
          <w:b/>
          <w:bCs/>
          <w:sz w:val="28"/>
          <w:szCs w:val="28"/>
          <w:u w:val="single"/>
          <w:rtl/>
        </w:rPr>
        <w:t>מטעם המשיבה, מדינת ישראל-משרד הבריאות</w:t>
      </w:r>
    </w:p>
    <w:p w:rsidR="00811416" w:rsidRPr="00811416" w:rsidRDefault="003C4FD6" w:rsidP="00217ADC">
      <w:pPr>
        <w:ind w:firstLine="720"/>
        <w:rPr>
          <w:rFonts w:ascii="David" w:hAnsi="David" w:cs="David"/>
          <w:b/>
          <w:bCs/>
          <w:sz w:val="28"/>
          <w:szCs w:val="28"/>
          <w:u w:val="single"/>
          <w:rtl/>
        </w:rPr>
      </w:pPr>
      <w:r>
        <w:rPr>
          <w:rFonts w:ascii="David" w:hAnsi="David" w:cs="David" w:hint="cs"/>
          <w:b/>
          <w:bCs/>
          <w:sz w:val="28"/>
          <w:szCs w:val="28"/>
          <w:u w:val="single"/>
          <w:rtl/>
        </w:rPr>
        <w:t>לבקשה למתן סעד זמני</w:t>
      </w:r>
      <w:r w:rsidR="00217ADC">
        <w:rPr>
          <w:rFonts w:ascii="David" w:hAnsi="David" w:cs="David" w:hint="cs"/>
          <w:b/>
          <w:bCs/>
          <w:sz w:val="28"/>
          <w:szCs w:val="28"/>
          <w:u w:val="single"/>
          <w:rtl/>
        </w:rPr>
        <w:t xml:space="preserve"> (ובקשה מוסכמת למתן ארכה)</w:t>
      </w:r>
    </w:p>
    <w:p w:rsidR="00811416" w:rsidRPr="00217ADC" w:rsidRDefault="00811416" w:rsidP="00217ADC">
      <w:pPr>
        <w:pStyle w:val="a3"/>
        <w:numPr>
          <w:ilvl w:val="0"/>
          <w:numId w:val="2"/>
        </w:numPr>
        <w:jc w:val="both"/>
        <w:rPr>
          <w:rFonts w:ascii="David" w:hAnsi="David" w:cs="David"/>
          <w:sz w:val="24"/>
          <w:szCs w:val="24"/>
          <w:rtl/>
        </w:rPr>
      </w:pPr>
      <w:r w:rsidRPr="00217ADC">
        <w:rPr>
          <w:rFonts w:ascii="David" w:hAnsi="David" w:cs="David"/>
          <w:sz w:val="24"/>
          <w:szCs w:val="24"/>
          <w:rtl/>
        </w:rPr>
        <w:t>בהתאם להחלטת בית הדין הנכבד, מתכבדת המשיבה, מדינת ישראל/משרד הבריאות/מרכז רפואי רמב"ם ל</w:t>
      </w:r>
      <w:r w:rsidR="003C4FD6" w:rsidRPr="00217ADC">
        <w:rPr>
          <w:rFonts w:ascii="David" w:hAnsi="David" w:cs="David"/>
          <w:sz w:val="24"/>
          <w:szCs w:val="24"/>
          <w:rtl/>
        </w:rPr>
        <w:t>הגיש את תשובתה, הנתמכת ב</w:t>
      </w:r>
      <w:r w:rsidRPr="00217ADC">
        <w:rPr>
          <w:rFonts w:ascii="David" w:hAnsi="David" w:cs="David"/>
          <w:sz w:val="24"/>
          <w:szCs w:val="24"/>
          <w:rtl/>
        </w:rPr>
        <w:t>תצהיר</w:t>
      </w:r>
      <w:r w:rsidR="003C4FD6" w:rsidRPr="00217ADC">
        <w:rPr>
          <w:rFonts w:ascii="David" w:hAnsi="David" w:cs="David"/>
          <w:sz w:val="24"/>
          <w:szCs w:val="24"/>
          <w:rtl/>
        </w:rPr>
        <w:t xml:space="preserve">ים מפורטים </w:t>
      </w:r>
      <w:r w:rsidRPr="00217ADC">
        <w:rPr>
          <w:rFonts w:ascii="David" w:hAnsi="David" w:cs="David"/>
          <w:sz w:val="24"/>
          <w:szCs w:val="24"/>
          <w:rtl/>
        </w:rPr>
        <w:t xml:space="preserve">של מנהל משאבי אנוש, מר אלי בן שלוש ומנהל מחלקת שינוע ותחבורה, מר אביעד קרן. </w:t>
      </w:r>
    </w:p>
    <w:p w:rsidR="00217ADC" w:rsidRDefault="00217ADC" w:rsidP="00217ADC">
      <w:pPr>
        <w:pStyle w:val="a3"/>
        <w:ind w:left="360"/>
        <w:jc w:val="both"/>
        <w:rPr>
          <w:rFonts w:ascii="David" w:hAnsi="David" w:cs="David"/>
          <w:sz w:val="24"/>
          <w:szCs w:val="24"/>
        </w:rPr>
      </w:pPr>
    </w:p>
    <w:p w:rsidR="00811416" w:rsidRPr="00217ADC" w:rsidRDefault="00811416" w:rsidP="00217ADC">
      <w:pPr>
        <w:pStyle w:val="a3"/>
        <w:numPr>
          <w:ilvl w:val="0"/>
          <w:numId w:val="2"/>
        </w:numPr>
        <w:jc w:val="both"/>
        <w:rPr>
          <w:rFonts w:ascii="David" w:hAnsi="David" w:cs="David"/>
          <w:sz w:val="24"/>
          <w:szCs w:val="24"/>
          <w:rtl/>
        </w:rPr>
      </w:pPr>
      <w:r w:rsidRPr="00217ADC">
        <w:rPr>
          <w:rFonts w:ascii="David" w:hAnsi="David" w:cs="David"/>
          <w:sz w:val="24"/>
          <w:szCs w:val="24"/>
          <w:rtl/>
        </w:rPr>
        <w:t xml:space="preserve">בפתח הדברים, מבוקש ליתן למשיבה את הרשות להגיש את תצהירי תשובתה במועדם. יצוין כי בשל עומס עבודה ניכר והתייצבותה לדיונים שנקבעו מבעוד מועד, לא היה סיפק בידי הח"מ להגיש את התצהירים עד השעה 10:00 היום (29.5.18). ב"כ המבקש, עו"ד שלומי כהן, נתן את הסכמתו האדיבה לארכה המבוקשת. לא ייגרם כל נזק או עיכוב ממתן הארכה המבוקשת, לפי שתצהירי המשיבה מוגשים עובר למועד הדיון, הקבוע ביום 30.5.18 בשעה 14:00. </w:t>
      </w:r>
    </w:p>
    <w:p w:rsidR="00217ADC" w:rsidRDefault="00217ADC" w:rsidP="00217ADC">
      <w:pPr>
        <w:pStyle w:val="a3"/>
        <w:ind w:left="360"/>
        <w:jc w:val="both"/>
        <w:rPr>
          <w:rFonts w:ascii="David" w:hAnsi="David" w:cs="David"/>
          <w:b/>
          <w:bCs/>
          <w:sz w:val="24"/>
          <w:szCs w:val="24"/>
        </w:rPr>
      </w:pPr>
    </w:p>
    <w:p w:rsidR="00811416" w:rsidRPr="00217ADC" w:rsidRDefault="00811416" w:rsidP="00217ADC">
      <w:pPr>
        <w:pStyle w:val="a3"/>
        <w:numPr>
          <w:ilvl w:val="0"/>
          <w:numId w:val="2"/>
        </w:numPr>
        <w:jc w:val="both"/>
        <w:rPr>
          <w:rFonts w:ascii="David" w:hAnsi="David" w:cs="David"/>
          <w:b/>
          <w:bCs/>
          <w:sz w:val="24"/>
          <w:szCs w:val="24"/>
          <w:rtl/>
        </w:rPr>
      </w:pPr>
      <w:r w:rsidRPr="00217ADC">
        <w:rPr>
          <w:rFonts w:ascii="David" w:hAnsi="David" w:cs="David"/>
          <w:b/>
          <w:bCs/>
          <w:sz w:val="24"/>
          <w:szCs w:val="24"/>
          <w:rtl/>
        </w:rPr>
        <w:t>מכל הטעמים המפורטים ב</w:t>
      </w:r>
      <w:r w:rsidR="00217ADC">
        <w:rPr>
          <w:rFonts w:ascii="David" w:hAnsi="David" w:cs="David" w:hint="cs"/>
          <w:b/>
          <w:bCs/>
          <w:sz w:val="24"/>
          <w:szCs w:val="24"/>
          <w:rtl/>
        </w:rPr>
        <w:t>תשובה זאת וב</w:t>
      </w:r>
      <w:r w:rsidRPr="00217ADC">
        <w:rPr>
          <w:rFonts w:ascii="David" w:hAnsi="David" w:cs="David"/>
          <w:b/>
          <w:bCs/>
          <w:sz w:val="24"/>
          <w:szCs w:val="24"/>
          <w:rtl/>
        </w:rPr>
        <w:t>תצהירי</w:t>
      </w:r>
      <w:r w:rsidR="00217ADC">
        <w:rPr>
          <w:rFonts w:ascii="David" w:hAnsi="David" w:cs="David" w:hint="cs"/>
          <w:b/>
          <w:bCs/>
          <w:sz w:val="24"/>
          <w:szCs w:val="24"/>
          <w:rtl/>
        </w:rPr>
        <w:t xml:space="preserve">ם התומכים בה, </w:t>
      </w:r>
      <w:r w:rsidRPr="00217ADC">
        <w:rPr>
          <w:rFonts w:ascii="David" w:hAnsi="David" w:cs="David"/>
          <w:b/>
          <w:bCs/>
          <w:sz w:val="24"/>
          <w:szCs w:val="24"/>
          <w:rtl/>
        </w:rPr>
        <w:t xml:space="preserve"> תטען המשיבה כי יש לדחות את הבקשה</w:t>
      </w:r>
      <w:r w:rsidR="00217ADC">
        <w:rPr>
          <w:rFonts w:ascii="David" w:hAnsi="David" w:cs="David" w:hint="cs"/>
          <w:b/>
          <w:bCs/>
          <w:sz w:val="24"/>
          <w:szCs w:val="24"/>
          <w:rtl/>
        </w:rPr>
        <w:t xml:space="preserve"> דנן על הסף ולחילופין לגופה</w:t>
      </w:r>
      <w:r w:rsidRPr="00217ADC">
        <w:rPr>
          <w:rFonts w:ascii="David" w:hAnsi="David" w:cs="David"/>
          <w:b/>
          <w:bCs/>
          <w:sz w:val="24"/>
          <w:szCs w:val="24"/>
          <w:rtl/>
        </w:rPr>
        <w:t xml:space="preserve">.  </w:t>
      </w:r>
    </w:p>
    <w:p w:rsidR="00217ADC" w:rsidRPr="00217ADC" w:rsidRDefault="00217ADC" w:rsidP="00217ADC">
      <w:pPr>
        <w:pStyle w:val="a3"/>
        <w:ind w:left="360"/>
        <w:jc w:val="both"/>
        <w:rPr>
          <w:rFonts w:ascii="David" w:hAnsi="David" w:cs="David"/>
          <w:b/>
          <w:bCs/>
          <w:sz w:val="24"/>
          <w:szCs w:val="24"/>
          <w:u w:val="single"/>
        </w:rPr>
      </w:pPr>
    </w:p>
    <w:p w:rsidR="00217ADC" w:rsidRPr="00217ADC" w:rsidRDefault="00217ADC" w:rsidP="00217ADC">
      <w:pPr>
        <w:pStyle w:val="a3"/>
        <w:ind w:left="360"/>
        <w:jc w:val="both"/>
        <w:rPr>
          <w:rFonts w:ascii="David" w:hAnsi="David" w:cs="David"/>
          <w:b/>
          <w:bCs/>
          <w:sz w:val="24"/>
          <w:szCs w:val="24"/>
          <w:u w:val="single"/>
        </w:rPr>
      </w:pPr>
    </w:p>
    <w:p w:rsidR="00217ADC" w:rsidRPr="00217ADC" w:rsidRDefault="00217ADC" w:rsidP="00217ADC">
      <w:pPr>
        <w:rPr>
          <w:rFonts w:ascii="David" w:hAnsi="David" w:cs="David"/>
          <w:sz w:val="24"/>
          <w:szCs w:val="24"/>
          <w:rtl/>
        </w:rPr>
      </w:pPr>
    </w:p>
    <w:p w:rsidR="00811416" w:rsidRDefault="00811416" w:rsidP="00217ADC">
      <w:pPr>
        <w:pStyle w:val="a3"/>
        <w:numPr>
          <w:ilvl w:val="0"/>
          <w:numId w:val="2"/>
        </w:numPr>
        <w:jc w:val="both"/>
        <w:rPr>
          <w:rFonts w:ascii="David" w:hAnsi="David" w:cs="David"/>
          <w:b/>
          <w:bCs/>
          <w:sz w:val="24"/>
          <w:szCs w:val="24"/>
          <w:u w:val="single"/>
        </w:rPr>
      </w:pPr>
      <w:r w:rsidRPr="00217ADC">
        <w:rPr>
          <w:rFonts w:ascii="David" w:hAnsi="David" w:cs="David"/>
          <w:sz w:val="24"/>
          <w:szCs w:val="24"/>
          <w:rtl/>
        </w:rPr>
        <w:lastRenderedPageBreak/>
        <w:t xml:space="preserve">בקצירת האומר, תטען המשיבה כי לא מתקיימים התנאים הנדרשים למתן צו זמני ומאזן הנוחות מחייב את דחיית הבקשה. </w:t>
      </w:r>
      <w:r w:rsidRPr="00217ADC">
        <w:rPr>
          <w:rFonts w:ascii="David" w:hAnsi="David" w:cs="David"/>
          <w:b/>
          <w:bCs/>
          <w:sz w:val="24"/>
          <w:szCs w:val="24"/>
          <w:u w:val="single"/>
          <w:rtl/>
        </w:rPr>
        <w:t>קל וחומר, כאשר הבקשה מתייחסת להחלטת פיטורין, שכלל לא ניתנה בעניינו של המבקש, כמפורט ב</w:t>
      </w:r>
      <w:r w:rsidR="003C4FD6" w:rsidRPr="00217ADC">
        <w:rPr>
          <w:rFonts w:ascii="David" w:hAnsi="David" w:cs="David"/>
          <w:b/>
          <w:bCs/>
          <w:sz w:val="24"/>
          <w:szCs w:val="24"/>
          <w:u w:val="single"/>
          <w:rtl/>
        </w:rPr>
        <w:t>הרחבה ב</w:t>
      </w:r>
      <w:r w:rsidRPr="00217ADC">
        <w:rPr>
          <w:rFonts w:ascii="David" w:hAnsi="David" w:cs="David"/>
          <w:b/>
          <w:bCs/>
          <w:sz w:val="24"/>
          <w:szCs w:val="24"/>
          <w:u w:val="single"/>
          <w:rtl/>
        </w:rPr>
        <w:t>תצהירו של מר אלי בן שלוש</w:t>
      </w:r>
      <w:r w:rsidR="003260EE" w:rsidRPr="00217ADC">
        <w:rPr>
          <w:rFonts w:ascii="David" w:hAnsi="David" w:cs="David"/>
          <w:b/>
          <w:bCs/>
          <w:sz w:val="24"/>
          <w:szCs w:val="24"/>
          <w:u w:val="single"/>
          <w:rtl/>
        </w:rPr>
        <w:t xml:space="preserve"> (אלא החלטה על העברה למחלקה אחרת)</w:t>
      </w:r>
      <w:r w:rsidRPr="00217ADC">
        <w:rPr>
          <w:rFonts w:ascii="David" w:hAnsi="David" w:cs="David"/>
          <w:b/>
          <w:bCs/>
          <w:sz w:val="24"/>
          <w:szCs w:val="24"/>
          <w:u w:val="single"/>
          <w:rtl/>
        </w:rPr>
        <w:t xml:space="preserve">. </w:t>
      </w:r>
      <w:r w:rsidR="003C4FD6" w:rsidRPr="00217ADC">
        <w:rPr>
          <w:rFonts w:ascii="David" w:hAnsi="David" w:cs="David"/>
          <w:b/>
          <w:bCs/>
          <w:sz w:val="24"/>
          <w:szCs w:val="24"/>
          <w:u w:val="single"/>
          <w:rtl/>
        </w:rPr>
        <w:t xml:space="preserve"> </w:t>
      </w:r>
    </w:p>
    <w:p w:rsidR="008766BE" w:rsidRDefault="008766BE" w:rsidP="008766BE">
      <w:pPr>
        <w:pStyle w:val="a3"/>
        <w:ind w:left="360"/>
        <w:jc w:val="both"/>
        <w:rPr>
          <w:rFonts w:ascii="David" w:hAnsi="David" w:cs="David"/>
          <w:sz w:val="24"/>
          <w:szCs w:val="24"/>
        </w:rPr>
      </w:pPr>
    </w:p>
    <w:p w:rsidR="008766BE" w:rsidRDefault="008766BE" w:rsidP="008766BE">
      <w:pPr>
        <w:pStyle w:val="a3"/>
        <w:numPr>
          <w:ilvl w:val="0"/>
          <w:numId w:val="2"/>
        </w:numPr>
        <w:jc w:val="both"/>
        <w:rPr>
          <w:rFonts w:ascii="David" w:hAnsi="David" w:cs="David"/>
          <w:sz w:val="24"/>
          <w:szCs w:val="24"/>
        </w:rPr>
      </w:pPr>
      <w:r>
        <w:rPr>
          <w:rFonts w:ascii="David" w:hAnsi="David" w:cs="David" w:hint="cs"/>
          <w:sz w:val="24"/>
          <w:szCs w:val="24"/>
          <w:rtl/>
        </w:rPr>
        <w:t xml:space="preserve">טרם התייחסות לבקשה גופה, תטען המשיבה, כי המבקש אינו עובד במחלקת השינוע כבר מיום 1.5.18. על-כן, בקשתו הנה בקשה </w:t>
      </w:r>
      <w:r>
        <w:rPr>
          <w:rFonts w:ascii="David" w:hAnsi="David" w:cs="David" w:hint="cs"/>
          <w:b/>
          <w:bCs/>
          <w:sz w:val="24"/>
          <w:szCs w:val="24"/>
          <w:rtl/>
        </w:rPr>
        <w:t>למתן צו עשה זמני</w:t>
      </w:r>
      <w:r>
        <w:rPr>
          <w:rFonts w:ascii="David" w:hAnsi="David" w:cs="David" w:hint="cs"/>
          <w:sz w:val="24"/>
          <w:szCs w:val="24"/>
          <w:rtl/>
        </w:rPr>
        <w:t xml:space="preserve">. הלכה פסוקה ידועה היא כי צווי עשה יינתנו במשורה וכאשר ישנן נסיבות חריגות המצדיקות זאת. בענייננו, לא מתקיימות נסיבות חריגות כאמור. בהקשר זה יצוין, כי כבר ביום 9.4.18 נמסרה למבקש ההחלטה שניתנה בשימוע על העברתו. </w:t>
      </w:r>
    </w:p>
    <w:p w:rsidR="008766BE" w:rsidRPr="008766BE" w:rsidRDefault="008766BE" w:rsidP="008766BE">
      <w:pPr>
        <w:pStyle w:val="a3"/>
        <w:rPr>
          <w:rFonts w:ascii="David" w:hAnsi="David" w:cs="David"/>
          <w:sz w:val="24"/>
          <w:szCs w:val="24"/>
          <w:rtl/>
        </w:rPr>
      </w:pPr>
    </w:p>
    <w:p w:rsidR="008766BE" w:rsidRDefault="008766BE" w:rsidP="00217ADC">
      <w:pPr>
        <w:pStyle w:val="a3"/>
        <w:numPr>
          <w:ilvl w:val="0"/>
          <w:numId w:val="2"/>
        </w:numPr>
        <w:jc w:val="both"/>
        <w:rPr>
          <w:rFonts w:ascii="David" w:hAnsi="David" w:cs="David"/>
          <w:sz w:val="24"/>
          <w:szCs w:val="24"/>
        </w:rPr>
      </w:pPr>
      <w:r>
        <w:rPr>
          <w:rFonts w:ascii="David" w:hAnsi="David" w:cs="David" w:hint="cs"/>
          <w:sz w:val="24"/>
          <w:szCs w:val="24"/>
          <w:rtl/>
        </w:rPr>
        <w:t xml:space="preserve">באשר לבקשה גופה - </w:t>
      </w:r>
    </w:p>
    <w:p w:rsidR="008766BE" w:rsidRPr="008766BE" w:rsidRDefault="008766BE" w:rsidP="008766BE">
      <w:pPr>
        <w:pStyle w:val="a3"/>
        <w:rPr>
          <w:rFonts w:ascii="David" w:hAnsi="David" w:cs="David"/>
          <w:sz w:val="24"/>
          <w:szCs w:val="24"/>
          <w:rtl/>
        </w:rPr>
      </w:pPr>
    </w:p>
    <w:p w:rsidR="00C93B81" w:rsidRPr="00217ADC" w:rsidRDefault="00811416" w:rsidP="00217ADC">
      <w:pPr>
        <w:pStyle w:val="a3"/>
        <w:numPr>
          <w:ilvl w:val="0"/>
          <w:numId w:val="2"/>
        </w:numPr>
        <w:jc w:val="both"/>
        <w:rPr>
          <w:rFonts w:ascii="David" w:hAnsi="David" w:cs="David"/>
          <w:sz w:val="24"/>
          <w:szCs w:val="24"/>
          <w:rtl/>
        </w:rPr>
      </w:pPr>
      <w:r w:rsidRPr="00217ADC">
        <w:rPr>
          <w:rFonts w:ascii="David" w:hAnsi="David" w:cs="David"/>
          <w:sz w:val="24"/>
          <w:szCs w:val="24"/>
          <w:rtl/>
        </w:rPr>
        <w:t>כאמור בתצהירי</w:t>
      </w:r>
      <w:r w:rsidR="003C4FD6" w:rsidRPr="00217ADC">
        <w:rPr>
          <w:rFonts w:ascii="David" w:hAnsi="David" w:cs="David"/>
          <w:sz w:val="24"/>
          <w:szCs w:val="24"/>
          <w:rtl/>
        </w:rPr>
        <w:t xml:space="preserve"> המשיבה</w:t>
      </w:r>
      <w:r w:rsidRPr="00217ADC">
        <w:rPr>
          <w:rFonts w:ascii="David" w:hAnsi="David" w:cs="David"/>
          <w:sz w:val="24"/>
          <w:szCs w:val="24"/>
          <w:rtl/>
        </w:rPr>
        <w:t>, המבקש לא הוכיח כי קנויה לו זכות להישאר לעבוד במחלקת השינוע.</w:t>
      </w:r>
      <w:r w:rsidR="00C93B81" w:rsidRPr="00217ADC">
        <w:rPr>
          <w:rFonts w:ascii="David" w:hAnsi="David" w:cs="David"/>
          <w:sz w:val="24"/>
          <w:szCs w:val="24"/>
          <w:rtl/>
        </w:rPr>
        <w:t xml:space="preserve"> יוטעם, כי </w:t>
      </w:r>
      <w:r w:rsidR="00C93B81" w:rsidRPr="00217ADC">
        <w:rPr>
          <w:rFonts w:ascii="David" w:hAnsi="David" w:cs="David"/>
          <w:b/>
          <w:bCs/>
          <w:sz w:val="24"/>
          <w:szCs w:val="24"/>
          <w:rtl/>
        </w:rPr>
        <w:t>אין</w:t>
      </w:r>
      <w:r w:rsidR="00C93B81" w:rsidRPr="00217ADC">
        <w:rPr>
          <w:rFonts w:ascii="David" w:hAnsi="David" w:cs="David"/>
          <w:sz w:val="24"/>
          <w:szCs w:val="24"/>
          <w:rtl/>
        </w:rPr>
        <w:t xml:space="preserve"> בתקופת העסקתו הממושכת של המבקש כדי להקנות לו זכות כאמור</w:t>
      </w:r>
      <w:r w:rsidR="003260EE" w:rsidRPr="00217ADC">
        <w:rPr>
          <w:rFonts w:ascii="David" w:hAnsi="David" w:cs="David"/>
          <w:sz w:val="24"/>
          <w:szCs w:val="24"/>
          <w:rtl/>
        </w:rPr>
        <w:t>, כפי שמנסה המבקש לטעון</w:t>
      </w:r>
      <w:r w:rsidR="00C93B81" w:rsidRPr="00217ADC">
        <w:rPr>
          <w:rFonts w:ascii="David" w:hAnsi="David" w:cs="David"/>
          <w:sz w:val="24"/>
          <w:szCs w:val="24"/>
          <w:rtl/>
        </w:rPr>
        <w:t xml:space="preserve">. המבקש העיד על עצמו כי הוא שחוק וכי מיצה את עצמו בעבודה במחלקת השינוע. הליקויים בתפקודו המקצועי אשר באים לידי ביטוי בתלונות שונות וקשות, כמפורט בתצהירו של מנהל מחלקת השינוע,  הן שהביאו את בית החולים לקיים למבקש שני שימועים בתקופה קצרה של כשנה אשר בסופן הוחלט על העברתו של המבקש למחלקה אחרת. </w:t>
      </w:r>
    </w:p>
    <w:p w:rsidR="00217ADC" w:rsidRDefault="00217ADC" w:rsidP="00217ADC">
      <w:pPr>
        <w:pStyle w:val="a3"/>
        <w:ind w:left="360"/>
        <w:jc w:val="both"/>
        <w:rPr>
          <w:rFonts w:ascii="David" w:hAnsi="David" w:cs="David"/>
          <w:sz w:val="24"/>
          <w:szCs w:val="24"/>
        </w:rPr>
      </w:pPr>
    </w:p>
    <w:p w:rsidR="00217ADC" w:rsidRDefault="00217ADC" w:rsidP="00217ADC">
      <w:pPr>
        <w:pStyle w:val="a3"/>
        <w:numPr>
          <w:ilvl w:val="0"/>
          <w:numId w:val="2"/>
        </w:numPr>
        <w:jc w:val="both"/>
        <w:rPr>
          <w:rFonts w:ascii="David" w:hAnsi="David" w:cs="David"/>
          <w:sz w:val="24"/>
          <w:szCs w:val="24"/>
        </w:rPr>
      </w:pPr>
      <w:r w:rsidRPr="00217ADC">
        <w:rPr>
          <w:rFonts w:ascii="David" w:hAnsi="David" w:cs="David" w:hint="cs"/>
          <w:sz w:val="24"/>
          <w:szCs w:val="24"/>
          <w:rtl/>
        </w:rPr>
        <w:t xml:space="preserve">ודוק, </w:t>
      </w:r>
      <w:r w:rsidR="00C93B81" w:rsidRPr="00217ADC">
        <w:rPr>
          <w:rFonts w:ascii="David" w:hAnsi="David" w:cs="David"/>
          <w:sz w:val="24"/>
          <w:szCs w:val="24"/>
          <w:rtl/>
        </w:rPr>
        <w:t>החלטת בית החולים על העברתו של המבקש התקבלה משיקולים מקצועיים וענייניים</w:t>
      </w:r>
      <w:r w:rsidRPr="00217ADC">
        <w:rPr>
          <w:rFonts w:ascii="David" w:hAnsi="David" w:cs="David" w:hint="cs"/>
          <w:sz w:val="24"/>
          <w:szCs w:val="24"/>
          <w:rtl/>
        </w:rPr>
        <w:t>, מתוך ראיית טובת בית החולים ומטופליו</w:t>
      </w:r>
      <w:r w:rsidR="003260EE" w:rsidRPr="00217ADC">
        <w:rPr>
          <w:rFonts w:ascii="David" w:hAnsi="David" w:cs="David"/>
          <w:sz w:val="24"/>
          <w:szCs w:val="24"/>
          <w:rtl/>
        </w:rPr>
        <w:t xml:space="preserve"> ולאחר שבית החולים נתן למבקש הזדמנויות רבות לשפר את תפקודו והתנהלותו. </w:t>
      </w:r>
      <w:r w:rsidR="00C93B81" w:rsidRPr="00217ADC">
        <w:rPr>
          <w:rFonts w:ascii="David" w:hAnsi="David" w:cs="David"/>
          <w:sz w:val="24"/>
          <w:szCs w:val="24"/>
          <w:rtl/>
        </w:rPr>
        <w:t xml:space="preserve">אין בבקשת המבקש, אשר הציג תמונה עובדתית חלקית בלבד, כל הצדקה להיעתר לבקשתו למתן הצו הזמני. </w:t>
      </w:r>
    </w:p>
    <w:p w:rsidR="00217ADC" w:rsidRPr="00217ADC" w:rsidRDefault="00217ADC" w:rsidP="00217ADC">
      <w:pPr>
        <w:pStyle w:val="a3"/>
        <w:rPr>
          <w:rFonts w:ascii="David" w:hAnsi="David" w:cs="David"/>
          <w:sz w:val="24"/>
          <w:szCs w:val="24"/>
          <w:rtl/>
        </w:rPr>
      </w:pPr>
    </w:p>
    <w:p w:rsidR="00C93B81" w:rsidRPr="00217ADC" w:rsidRDefault="00C93B81" w:rsidP="00217ADC">
      <w:pPr>
        <w:pStyle w:val="a3"/>
        <w:numPr>
          <w:ilvl w:val="0"/>
          <w:numId w:val="2"/>
        </w:numPr>
        <w:jc w:val="both"/>
        <w:rPr>
          <w:rFonts w:ascii="David" w:hAnsi="David" w:cs="David"/>
          <w:sz w:val="24"/>
          <w:szCs w:val="24"/>
          <w:rtl/>
        </w:rPr>
      </w:pPr>
      <w:r w:rsidRPr="00217ADC">
        <w:rPr>
          <w:rFonts w:ascii="David" w:hAnsi="David" w:cs="David"/>
          <w:sz w:val="24"/>
          <w:szCs w:val="24"/>
          <w:rtl/>
        </w:rPr>
        <w:t>כמפורט בתצהירו של מר אלי בן שלוש, מנהל משאבי אנוש בבית החולים, בית החולים ניסה לקיים את הליך העברתו של  המבקש למחלקה אחרת בתיאום ובהסכמה אחת עמו</w:t>
      </w:r>
      <w:r w:rsidR="00217ADC">
        <w:rPr>
          <w:rFonts w:ascii="David" w:hAnsi="David" w:cs="David" w:hint="cs"/>
          <w:sz w:val="24"/>
          <w:szCs w:val="24"/>
          <w:rtl/>
        </w:rPr>
        <w:t>, אולם המבקש לא שיתף פעולה עם הליך זה</w:t>
      </w:r>
      <w:r w:rsidRPr="00217ADC">
        <w:rPr>
          <w:rFonts w:ascii="David" w:hAnsi="David" w:cs="David"/>
          <w:sz w:val="24"/>
          <w:szCs w:val="24"/>
          <w:rtl/>
        </w:rPr>
        <w:t>. כך, למבקש הוצעו חלופות שונות וראויות, במגבלות המשרות הפנויות ובהתאמה לנתוניו האובייקטיביים של המבקש (הכוללות 12 שנות לימוד בלבד)</w:t>
      </w:r>
      <w:r w:rsidR="00217ADC">
        <w:rPr>
          <w:rFonts w:ascii="David" w:hAnsi="David" w:cs="David" w:hint="cs"/>
          <w:sz w:val="24"/>
          <w:szCs w:val="24"/>
          <w:rtl/>
        </w:rPr>
        <w:t>; הנה כי כן,</w:t>
      </w:r>
      <w:r w:rsidRPr="00217ADC">
        <w:rPr>
          <w:rFonts w:ascii="David" w:hAnsi="David" w:cs="David"/>
          <w:sz w:val="24"/>
          <w:szCs w:val="24"/>
          <w:rtl/>
        </w:rPr>
        <w:t xml:space="preserve"> </w:t>
      </w:r>
      <w:r w:rsidR="00217ADC">
        <w:rPr>
          <w:rFonts w:ascii="David" w:hAnsi="David" w:cs="David" w:hint="cs"/>
          <w:sz w:val="24"/>
          <w:szCs w:val="24"/>
          <w:rtl/>
        </w:rPr>
        <w:t xml:space="preserve">למבקש </w:t>
      </w:r>
      <w:r w:rsidRPr="00217ADC">
        <w:rPr>
          <w:rFonts w:ascii="David" w:hAnsi="David" w:cs="David"/>
          <w:sz w:val="24"/>
          <w:szCs w:val="24"/>
          <w:rtl/>
        </w:rPr>
        <w:t xml:space="preserve">הוצעו עבודות במחלקת משק, במכבסה (עבודה שהוצעה אף לפי בקשת בא כוחו של המבקש) ובמעבדה בפתולוגיה. המבקש סירב לכל </w:t>
      </w:r>
      <w:r w:rsidR="003260EE" w:rsidRPr="00217ADC">
        <w:rPr>
          <w:rFonts w:ascii="David" w:hAnsi="David" w:cs="David"/>
          <w:sz w:val="24"/>
          <w:szCs w:val="24"/>
          <w:rtl/>
        </w:rPr>
        <w:t>ה</w:t>
      </w:r>
      <w:r w:rsidRPr="00217ADC">
        <w:rPr>
          <w:rFonts w:ascii="David" w:hAnsi="David" w:cs="David"/>
          <w:sz w:val="24"/>
          <w:szCs w:val="24"/>
          <w:rtl/>
        </w:rPr>
        <w:t xml:space="preserve">הצעות </w:t>
      </w:r>
      <w:r w:rsidR="003260EE" w:rsidRPr="00217ADC">
        <w:rPr>
          <w:rFonts w:ascii="David" w:hAnsi="David" w:cs="David"/>
          <w:sz w:val="24"/>
          <w:szCs w:val="24"/>
          <w:rtl/>
        </w:rPr>
        <w:t>הל</w:t>
      </w:r>
      <w:r w:rsidRPr="00217ADC">
        <w:rPr>
          <w:rFonts w:ascii="David" w:hAnsi="David" w:cs="David"/>
          <w:sz w:val="24"/>
          <w:szCs w:val="24"/>
          <w:rtl/>
        </w:rPr>
        <w:t xml:space="preserve">לו, ללא נימוק ענייני ומניח את הדעת ומבלי שנתן לעצמו הזדמנות </w:t>
      </w:r>
      <w:r w:rsidR="003260EE" w:rsidRPr="00217ADC">
        <w:rPr>
          <w:rFonts w:ascii="David" w:hAnsi="David" w:cs="David"/>
          <w:sz w:val="24"/>
          <w:szCs w:val="24"/>
          <w:rtl/>
        </w:rPr>
        <w:t xml:space="preserve">אמיתית וכנה </w:t>
      </w:r>
      <w:r w:rsidRPr="00217ADC">
        <w:rPr>
          <w:rFonts w:ascii="David" w:hAnsi="David" w:cs="David"/>
          <w:sz w:val="24"/>
          <w:szCs w:val="24"/>
          <w:rtl/>
        </w:rPr>
        <w:t xml:space="preserve">להשתלב בעבודות אלו. </w:t>
      </w:r>
    </w:p>
    <w:p w:rsidR="00217ADC" w:rsidRDefault="00217ADC" w:rsidP="00217ADC">
      <w:pPr>
        <w:pStyle w:val="a3"/>
        <w:ind w:left="360"/>
        <w:jc w:val="both"/>
        <w:rPr>
          <w:rFonts w:ascii="David" w:hAnsi="David" w:cs="David"/>
          <w:sz w:val="24"/>
          <w:szCs w:val="24"/>
        </w:rPr>
      </w:pPr>
    </w:p>
    <w:p w:rsidR="00217ADC" w:rsidRPr="00217ADC" w:rsidRDefault="00C93B81" w:rsidP="00217ADC">
      <w:pPr>
        <w:pStyle w:val="a3"/>
        <w:numPr>
          <w:ilvl w:val="0"/>
          <w:numId w:val="2"/>
        </w:numPr>
        <w:jc w:val="both"/>
        <w:rPr>
          <w:rFonts w:ascii="David" w:hAnsi="David" w:cs="David"/>
          <w:sz w:val="24"/>
          <w:szCs w:val="24"/>
          <w:rtl/>
        </w:rPr>
      </w:pPr>
      <w:r w:rsidRPr="00217ADC">
        <w:rPr>
          <w:rFonts w:ascii="David" w:hAnsi="David" w:cs="David"/>
          <w:sz w:val="24"/>
          <w:szCs w:val="24"/>
          <w:rtl/>
        </w:rPr>
        <w:t xml:space="preserve">אין מקום להשבת המבקש למחלקת השינוע, אף לא באופן זמני! זאת בשל כל הנזקים אשר המבקש גרם בזמן עבודתו במחלקת השינוע, על כל הנובע והמשתמע מכך,  לרבות בשנה וחצי </w:t>
      </w:r>
    </w:p>
    <w:p w:rsidR="00C93B81" w:rsidRPr="00217ADC" w:rsidRDefault="00C93B81" w:rsidP="00217ADC">
      <w:pPr>
        <w:pStyle w:val="a3"/>
        <w:ind w:left="360"/>
        <w:jc w:val="both"/>
        <w:rPr>
          <w:rFonts w:ascii="David" w:hAnsi="David" w:cs="David"/>
          <w:sz w:val="24"/>
          <w:szCs w:val="24"/>
          <w:rtl/>
        </w:rPr>
      </w:pPr>
      <w:r w:rsidRPr="00217ADC">
        <w:rPr>
          <w:rFonts w:ascii="David" w:hAnsi="David" w:cs="David"/>
          <w:sz w:val="24"/>
          <w:szCs w:val="24"/>
          <w:rtl/>
        </w:rPr>
        <w:t>האחרונות</w:t>
      </w:r>
      <w:r w:rsidR="00217ADC" w:rsidRPr="00217ADC">
        <w:rPr>
          <w:rFonts w:ascii="David" w:hAnsi="David" w:cs="David"/>
          <w:sz w:val="24"/>
          <w:szCs w:val="24"/>
          <w:rtl/>
        </w:rPr>
        <w:t xml:space="preserve"> (כמפורט בתצהירו של מנהל מחלקת השינוע והתחבורה)</w:t>
      </w:r>
      <w:r w:rsidRPr="00217ADC">
        <w:rPr>
          <w:rFonts w:ascii="David" w:hAnsi="David" w:cs="David"/>
          <w:sz w:val="24"/>
          <w:szCs w:val="24"/>
          <w:rtl/>
        </w:rPr>
        <w:t xml:space="preserve">. </w:t>
      </w:r>
    </w:p>
    <w:p w:rsidR="00217ADC" w:rsidRDefault="00217ADC" w:rsidP="00217ADC">
      <w:pPr>
        <w:pStyle w:val="a3"/>
        <w:ind w:left="360"/>
        <w:jc w:val="both"/>
        <w:rPr>
          <w:rFonts w:ascii="David" w:hAnsi="David" w:cs="David"/>
          <w:sz w:val="24"/>
          <w:szCs w:val="24"/>
        </w:rPr>
      </w:pPr>
    </w:p>
    <w:p w:rsidR="00C93B81" w:rsidRPr="00217ADC" w:rsidRDefault="00C93B81" w:rsidP="00217ADC">
      <w:pPr>
        <w:pStyle w:val="a3"/>
        <w:numPr>
          <w:ilvl w:val="0"/>
          <w:numId w:val="2"/>
        </w:numPr>
        <w:jc w:val="both"/>
        <w:rPr>
          <w:rFonts w:ascii="David" w:hAnsi="David" w:cs="David"/>
          <w:sz w:val="24"/>
          <w:szCs w:val="24"/>
          <w:rtl/>
        </w:rPr>
      </w:pPr>
      <w:r w:rsidRPr="00217ADC">
        <w:rPr>
          <w:rFonts w:ascii="David" w:hAnsi="David" w:cs="David"/>
          <w:sz w:val="24"/>
          <w:szCs w:val="24"/>
          <w:rtl/>
        </w:rPr>
        <w:t xml:space="preserve">אל מול הנזקים שייגרמו/עלולים להיגרם בשל החזרתו של המבקש למחלקת השינוע, הרי שלמבקש לא ייגרם כל נזק. נהפוך הוא! כפי שהובהר למבקש (ולבא כוחו הקודם) לא פעם, העברתו למחלקות האחרות תיעשה תוך שמירת תנאי העסקתו ושכרו. העבודה במחלקת משק או במכבסה אף כרוכה בקבלת פרמיה גבוהה יותר. בנוסף, מדובר בעבודות </w:t>
      </w:r>
      <w:r w:rsidR="003C4FD6" w:rsidRPr="00217ADC">
        <w:rPr>
          <w:rFonts w:ascii="David" w:hAnsi="David" w:cs="David"/>
          <w:sz w:val="24"/>
          <w:szCs w:val="24"/>
          <w:rtl/>
        </w:rPr>
        <w:t xml:space="preserve">נוחות עם מאמצים פיזיים קלים בהרבה מאלו שהיו כרוכים בעבודתו של המבקש במחלקת השינוע. </w:t>
      </w:r>
    </w:p>
    <w:p w:rsidR="00217ADC" w:rsidRDefault="00217ADC" w:rsidP="00217ADC">
      <w:pPr>
        <w:pStyle w:val="a3"/>
        <w:spacing w:before="120" w:after="120" w:line="360" w:lineRule="auto"/>
        <w:ind w:left="360"/>
        <w:jc w:val="both"/>
        <w:rPr>
          <w:rFonts w:ascii="David" w:hAnsi="David" w:cs="David"/>
          <w:sz w:val="24"/>
          <w:szCs w:val="24"/>
        </w:rPr>
      </w:pPr>
    </w:p>
    <w:p w:rsidR="003C4FD6" w:rsidRPr="00217ADC" w:rsidRDefault="003C4FD6" w:rsidP="008766BE">
      <w:pPr>
        <w:pStyle w:val="a3"/>
        <w:numPr>
          <w:ilvl w:val="0"/>
          <w:numId w:val="2"/>
        </w:numPr>
        <w:spacing w:before="120" w:after="120"/>
        <w:jc w:val="both"/>
        <w:rPr>
          <w:rFonts w:ascii="David" w:hAnsi="David" w:cs="David"/>
          <w:sz w:val="24"/>
          <w:szCs w:val="24"/>
        </w:rPr>
      </w:pPr>
      <w:r w:rsidRPr="00217ADC">
        <w:rPr>
          <w:rFonts w:ascii="David" w:hAnsi="David" w:cs="David"/>
          <w:sz w:val="24"/>
          <w:szCs w:val="24"/>
          <w:rtl/>
        </w:rPr>
        <w:t xml:space="preserve">על פי ההלכה הפסוקה, למעביד הפררוגטיבה לנהל את מפעלו על הצד הטוב והמועיל ביותר לפי הבנתו ושיפוטו. פררוגטיבה זו מעניקה למעביד סמכויות שונות ובהן גם </w:t>
      </w:r>
      <w:r w:rsidR="008766BE">
        <w:rPr>
          <w:rFonts w:ascii="David" w:hAnsi="David" w:cs="David" w:hint="cs"/>
          <w:sz w:val="24"/>
          <w:szCs w:val="24"/>
          <w:rtl/>
        </w:rPr>
        <w:t xml:space="preserve">את </w:t>
      </w:r>
      <w:r w:rsidRPr="00217ADC">
        <w:rPr>
          <w:rFonts w:ascii="David" w:hAnsi="David" w:cs="David"/>
          <w:sz w:val="24"/>
          <w:szCs w:val="24"/>
          <w:rtl/>
        </w:rPr>
        <w:t xml:space="preserve">הסמכות </w:t>
      </w:r>
      <w:r w:rsidRPr="00217ADC">
        <w:rPr>
          <w:rFonts w:ascii="David" w:hAnsi="David" w:cs="David"/>
          <w:b/>
          <w:bCs/>
          <w:sz w:val="24"/>
          <w:szCs w:val="24"/>
          <w:rtl/>
        </w:rPr>
        <w:t>ל</w:t>
      </w:r>
      <w:r w:rsidR="00217ADC" w:rsidRPr="00217ADC">
        <w:rPr>
          <w:rFonts w:ascii="David" w:hAnsi="David" w:cs="David"/>
          <w:b/>
          <w:bCs/>
          <w:sz w:val="24"/>
          <w:szCs w:val="24"/>
          <w:rtl/>
        </w:rPr>
        <w:t xml:space="preserve">העביר עובד מתפקידו לתפקיד אחר.   </w:t>
      </w:r>
    </w:p>
    <w:p w:rsidR="00217ADC" w:rsidRDefault="00217ADC" w:rsidP="008766BE">
      <w:pPr>
        <w:pStyle w:val="a3"/>
        <w:spacing w:after="0"/>
        <w:ind w:left="360"/>
        <w:jc w:val="both"/>
        <w:rPr>
          <w:rFonts w:ascii="David" w:hAnsi="David" w:cs="David"/>
          <w:sz w:val="24"/>
          <w:szCs w:val="24"/>
        </w:rPr>
      </w:pPr>
    </w:p>
    <w:p w:rsidR="003C4FD6" w:rsidRPr="00217ADC" w:rsidRDefault="003C4FD6" w:rsidP="008766BE">
      <w:pPr>
        <w:pStyle w:val="a3"/>
        <w:numPr>
          <w:ilvl w:val="0"/>
          <w:numId w:val="2"/>
        </w:numPr>
        <w:spacing w:after="0"/>
        <w:jc w:val="both"/>
        <w:rPr>
          <w:rFonts w:ascii="David" w:hAnsi="David" w:cs="David"/>
          <w:sz w:val="24"/>
          <w:szCs w:val="24"/>
          <w:rtl/>
        </w:rPr>
      </w:pPr>
      <w:r w:rsidRPr="00217ADC">
        <w:rPr>
          <w:rFonts w:ascii="David" w:hAnsi="David" w:cs="David"/>
          <w:sz w:val="24"/>
          <w:szCs w:val="24"/>
          <w:rtl/>
        </w:rPr>
        <w:lastRenderedPageBreak/>
        <w:t>הלכה ידועה שיצאה מלפני בית המשפט העליון היא, כי אין בית המשפט שם את שיקול דעתו תחת שיקול דעתה של הרשות המוסמכת, וכל אימת שלא נפל בהחלטת הרשות פגם מהותי היורד לש</w:t>
      </w:r>
      <w:r w:rsidR="00217ADC" w:rsidRPr="00217ADC">
        <w:rPr>
          <w:rFonts w:ascii="David" w:hAnsi="David" w:cs="David"/>
          <w:sz w:val="24"/>
          <w:szCs w:val="24"/>
          <w:rtl/>
        </w:rPr>
        <w:t>ו</w:t>
      </w:r>
      <w:r w:rsidRPr="00217ADC">
        <w:rPr>
          <w:rFonts w:ascii="David" w:hAnsi="David" w:cs="David"/>
          <w:sz w:val="24"/>
          <w:szCs w:val="24"/>
          <w:rtl/>
        </w:rPr>
        <w:t xml:space="preserve">רשו של עניין, ימנע בית המשפט מלהתערב בהחלטות הרשות. </w:t>
      </w:r>
    </w:p>
    <w:p w:rsidR="00217ADC" w:rsidRPr="00217ADC" w:rsidRDefault="00217ADC" w:rsidP="008766BE">
      <w:pPr>
        <w:spacing w:after="0"/>
        <w:jc w:val="both"/>
        <w:rPr>
          <w:rFonts w:ascii="David" w:hAnsi="David" w:cs="David"/>
          <w:sz w:val="24"/>
          <w:szCs w:val="24"/>
          <w:rtl/>
        </w:rPr>
      </w:pPr>
    </w:p>
    <w:p w:rsidR="003C4FD6" w:rsidRPr="00217ADC" w:rsidRDefault="003C4FD6" w:rsidP="008766BE">
      <w:pPr>
        <w:pStyle w:val="a3"/>
        <w:numPr>
          <w:ilvl w:val="0"/>
          <w:numId w:val="2"/>
        </w:numPr>
        <w:spacing w:after="0"/>
        <w:jc w:val="both"/>
        <w:rPr>
          <w:rFonts w:ascii="David" w:hAnsi="David" w:cs="David"/>
          <w:sz w:val="24"/>
          <w:szCs w:val="24"/>
        </w:rPr>
      </w:pPr>
      <w:r w:rsidRPr="00217ADC">
        <w:rPr>
          <w:rFonts w:ascii="David" w:hAnsi="David" w:cs="David"/>
          <w:sz w:val="24"/>
          <w:szCs w:val="24"/>
          <w:rtl/>
        </w:rPr>
        <w:t xml:space="preserve">בכגון דא, מצווה בית המשפט לנהוג מתוך ריסון ואיפוק לבל יימצא ממיר את שיקול דעתה של הרשות המנהלית בשיקול דעתו. יתרה מזאת, ככל שהסוגיה אליה נדרשת הרשות היא מקצועית יותר, כך תפחת נטייתו של בית המשפט להתערב בהחלטה. ראה: בג"צ 389/80 </w:t>
      </w:r>
      <w:r w:rsidRPr="00217ADC">
        <w:rPr>
          <w:rFonts w:ascii="David" w:hAnsi="David" w:cs="David"/>
          <w:b/>
          <w:bCs/>
          <w:sz w:val="24"/>
          <w:szCs w:val="24"/>
          <w:rtl/>
        </w:rPr>
        <w:t>דפי זהב נ' רשות השידור</w:t>
      </w:r>
      <w:r w:rsidRPr="00217ADC">
        <w:rPr>
          <w:rFonts w:ascii="David" w:hAnsi="David" w:cs="David"/>
          <w:sz w:val="24"/>
          <w:szCs w:val="24"/>
          <w:rtl/>
        </w:rPr>
        <w:t xml:space="preserve">, פ"ד לה(1) 421. התערבות בית המשפט בהחלטת הרשות היא קשה יותר ונדירה יותר ככל שעסקינן בשאלה מקצועית, הדורשת מומחיות מיוחדת. ראה: בג"ץ 492/79 </w:t>
      </w:r>
      <w:r w:rsidRPr="00217ADC">
        <w:rPr>
          <w:rFonts w:ascii="David" w:hAnsi="David" w:cs="David"/>
          <w:b/>
          <w:bCs/>
          <w:sz w:val="24"/>
          <w:szCs w:val="24"/>
          <w:rtl/>
        </w:rPr>
        <w:t>חברה פלונית נ' משרד הביטחון</w:t>
      </w:r>
      <w:r w:rsidRPr="00217ADC">
        <w:rPr>
          <w:rFonts w:ascii="David" w:hAnsi="David" w:cs="David"/>
          <w:sz w:val="24"/>
          <w:szCs w:val="24"/>
          <w:rtl/>
        </w:rPr>
        <w:t xml:space="preserve"> פ"ד לד(3) 706; בג"ץ 4157/98 "</w:t>
      </w:r>
      <w:r w:rsidRPr="00217ADC">
        <w:rPr>
          <w:rFonts w:ascii="David" w:hAnsi="David" w:cs="David"/>
          <w:b/>
          <w:bCs/>
          <w:sz w:val="24"/>
          <w:szCs w:val="24"/>
          <w:rtl/>
        </w:rPr>
        <w:t>צוות אגודת גימלאי שרות הקבע בצה"ל" נ' משרד הבטחון ומשרד האוצר</w:t>
      </w:r>
      <w:r w:rsidRPr="00217ADC">
        <w:rPr>
          <w:rFonts w:ascii="David" w:hAnsi="David" w:cs="David"/>
          <w:sz w:val="24"/>
          <w:szCs w:val="24"/>
          <w:rtl/>
        </w:rPr>
        <w:t xml:space="preserve"> (פורסם בנבו)(מיום 4.2.2004).</w:t>
      </w:r>
    </w:p>
    <w:p w:rsidR="003C4FD6" w:rsidRPr="00217ADC" w:rsidRDefault="003C4FD6" w:rsidP="008766BE">
      <w:pPr>
        <w:tabs>
          <w:tab w:val="num" w:pos="371"/>
        </w:tabs>
        <w:ind w:left="371" w:hanging="371"/>
        <w:rPr>
          <w:rFonts w:ascii="David" w:hAnsi="David" w:cs="David"/>
          <w:sz w:val="24"/>
          <w:szCs w:val="24"/>
          <w:rtl/>
        </w:rPr>
      </w:pPr>
    </w:p>
    <w:p w:rsidR="003C4FD6" w:rsidRPr="00217ADC" w:rsidRDefault="003C4FD6" w:rsidP="008766BE">
      <w:pPr>
        <w:pStyle w:val="a3"/>
        <w:numPr>
          <w:ilvl w:val="0"/>
          <w:numId w:val="2"/>
        </w:numPr>
        <w:spacing w:after="0"/>
        <w:jc w:val="both"/>
        <w:rPr>
          <w:rFonts w:ascii="David" w:hAnsi="David" w:cs="David"/>
          <w:sz w:val="24"/>
          <w:szCs w:val="24"/>
        </w:rPr>
      </w:pPr>
      <w:r w:rsidRPr="00217ADC">
        <w:rPr>
          <w:rFonts w:ascii="David" w:hAnsi="David" w:cs="David"/>
          <w:sz w:val="24"/>
          <w:szCs w:val="24"/>
          <w:rtl/>
        </w:rPr>
        <w:t xml:space="preserve">מאחר שבית הדין לעבודה אינו בן חורג למערכת המשפט, אף הוא הלך בשדה חרוש זה, ונקבע על ידו כי לא ישים שיקול דעתו תחת שיקול דעתה של הרשות המוסמכת, אלא בוחן הוא, בחינה מנהלית, את החלטותיה. ראו למשל: דב"ע נד/120-3 </w:t>
      </w:r>
      <w:r w:rsidRPr="00217ADC">
        <w:rPr>
          <w:rFonts w:ascii="David" w:hAnsi="David" w:cs="David"/>
          <w:b/>
          <w:bCs/>
          <w:sz w:val="24"/>
          <w:szCs w:val="24"/>
          <w:rtl/>
        </w:rPr>
        <w:t xml:space="preserve">יחיאל שבח - ראש עיריית תל-אביב-יפו ואח', </w:t>
      </w:r>
      <w:r w:rsidRPr="00217ADC">
        <w:rPr>
          <w:rFonts w:ascii="David" w:hAnsi="David" w:cs="David"/>
          <w:sz w:val="24"/>
          <w:szCs w:val="24"/>
          <w:rtl/>
        </w:rPr>
        <w:t>פד"ע כו 395, 400</w:t>
      </w:r>
      <w:r w:rsidRPr="00217ADC">
        <w:rPr>
          <w:rFonts w:ascii="David" w:hAnsi="David" w:cs="David"/>
          <w:b/>
          <w:bCs/>
          <w:sz w:val="24"/>
          <w:szCs w:val="24"/>
          <w:rtl/>
        </w:rPr>
        <w:t>; דב"ע מט/31-3 רחל שלום - ברית התנועה הקיבוצית</w:t>
      </w:r>
      <w:r w:rsidRPr="00217ADC">
        <w:rPr>
          <w:rFonts w:ascii="David" w:hAnsi="David" w:cs="David"/>
          <w:sz w:val="24"/>
          <w:szCs w:val="24"/>
          <w:rtl/>
        </w:rPr>
        <w:t>, פד"ע כא 262, 268-269.</w:t>
      </w:r>
    </w:p>
    <w:p w:rsidR="00217ADC" w:rsidRPr="00217ADC" w:rsidRDefault="00217ADC" w:rsidP="008766BE">
      <w:pPr>
        <w:spacing w:after="0"/>
        <w:ind w:left="360"/>
        <w:jc w:val="both"/>
        <w:rPr>
          <w:rFonts w:ascii="David" w:hAnsi="David" w:cs="David"/>
          <w:sz w:val="24"/>
          <w:szCs w:val="24"/>
          <w:rtl/>
        </w:rPr>
      </w:pPr>
    </w:p>
    <w:p w:rsidR="003C4FD6" w:rsidRPr="00217ADC" w:rsidRDefault="003C4FD6" w:rsidP="008766BE">
      <w:pPr>
        <w:pStyle w:val="a3"/>
        <w:numPr>
          <w:ilvl w:val="0"/>
          <w:numId w:val="2"/>
        </w:numPr>
        <w:spacing w:after="0"/>
        <w:jc w:val="both"/>
        <w:rPr>
          <w:rFonts w:ascii="David" w:hAnsi="David" w:cs="David"/>
          <w:sz w:val="24"/>
          <w:szCs w:val="24"/>
        </w:rPr>
      </w:pPr>
      <w:r w:rsidRPr="00217ADC">
        <w:rPr>
          <w:rFonts w:ascii="David" w:hAnsi="David" w:cs="David"/>
          <w:sz w:val="24"/>
          <w:szCs w:val="24"/>
          <w:rtl/>
        </w:rPr>
        <w:t>לשון אחר, כל שיש בידי בית הדין לעשות הוא לבחון  - האם ההחלטה נמצאת במתחם הסבירות אם לאו, היינו האם נפל פגם בשורשו של עניין בהחלטת הרשות המנהלית, והאם על הרשות לשוב ולבחון את העניין פעם נוספת. עם זאת, עקרון הפרדת הרשויות מחייב איפוק שיפוטי, על</w:t>
      </w:r>
      <w:r w:rsidRPr="00217ADC">
        <w:rPr>
          <w:rFonts w:ascii="David" w:hAnsi="David" w:cs="David"/>
          <w:sz w:val="24"/>
          <w:szCs w:val="24"/>
        </w:rPr>
        <w:t xml:space="preserve"> </w:t>
      </w:r>
      <w:r w:rsidRPr="00217ADC">
        <w:rPr>
          <w:rFonts w:ascii="David" w:hAnsi="David" w:cs="David"/>
          <w:sz w:val="24"/>
          <w:szCs w:val="24"/>
          <w:rtl/>
        </w:rPr>
        <w:t>מנת</w:t>
      </w:r>
      <w:r w:rsidRPr="00217ADC">
        <w:rPr>
          <w:rFonts w:ascii="David" w:hAnsi="David" w:cs="David"/>
          <w:sz w:val="24"/>
          <w:szCs w:val="24"/>
        </w:rPr>
        <w:t xml:space="preserve"> </w:t>
      </w:r>
      <w:r w:rsidRPr="00217ADC">
        <w:rPr>
          <w:rFonts w:ascii="David" w:hAnsi="David" w:cs="David"/>
          <w:sz w:val="24"/>
          <w:szCs w:val="24"/>
          <w:rtl/>
        </w:rPr>
        <w:t>שלא</w:t>
      </w:r>
      <w:r w:rsidRPr="00217ADC">
        <w:rPr>
          <w:rFonts w:ascii="David" w:hAnsi="David" w:cs="David"/>
          <w:sz w:val="24"/>
          <w:szCs w:val="24"/>
        </w:rPr>
        <w:t xml:space="preserve"> </w:t>
      </w:r>
      <w:r w:rsidRPr="00217ADC">
        <w:rPr>
          <w:rFonts w:ascii="David" w:hAnsi="David" w:cs="David"/>
          <w:sz w:val="24"/>
          <w:szCs w:val="24"/>
          <w:rtl/>
        </w:rPr>
        <w:t>להסיג</w:t>
      </w:r>
      <w:r w:rsidRPr="00217ADC">
        <w:rPr>
          <w:rFonts w:ascii="David" w:hAnsi="David" w:cs="David"/>
          <w:sz w:val="24"/>
          <w:szCs w:val="24"/>
        </w:rPr>
        <w:t xml:space="preserve"> </w:t>
      </w:r>
      <w:r w:rsidRPr="00217ADC">
        <w:rPr>
          <w:rFonts w:ascii="David" w:hAnsi="David" w:cs="David"/>
          <w:sz w:val="24"/>
          <w:szCs w:val="24"/>
          <w:rtl/>
        </w:rPr>
        <w:t>את</w:t>
      </w:r>
      <w:r w:rsidRPr="00217ADC">
        <w:rPr>
          <w:rFonts w:ascii="David" w:hAnsi="David" w:cs="David"/>
          <w:sz w:val="24"/>
          <w:szCs w:val="24"/>
        </w:rPr>
        <w:t xml:space="preserve"> </w:t>
      </w:r>
      <w:r w:rsidRPr="00217ADC">
        <w:rPr>
          <w:rFonts w:ascii="David" w:hAnsi="David" w:cs="David"/>
          <w:sz w:val="24"/>
          <w:szCs w:val="24"/>
          <w:rtl/>
        </w:rPr>
        <w:t>גבולן</w:t>
      </w:r>
      <w:r w:rsidRPr="00217ADC">
        <w:rPr>
          <w:rFonts w:ascii="David" w:hAnsi="David" w:cs="David"/>
          <w:sz w:val="24"/>
          <w:szCs w:val="24"/>
        </w:rPr>
        <w:t xml:space="preserve"> </w:t>
      </w:r>
      <w:r w:rsidRPr="00217ADC">
        <w:rPr>
          <w:rFonts w:ascii="David" w:hAnsi="David" w:cs="David"/>
          <w:sz w:val="24"/>
          <w:szCs w:val="24"/>
          <w:rtl/>
        </w:rPr>
        <w:t>של</w:t>
      </w:r>
      <w:r w:rsidRPr="00217ADC">
        <w:rPr>
          <w:rFonts w:ascii="David" w:hAnsi="David" w:cs="David"/>
          <w:sz w:val="24"/>
          <w:szCs w:val="24"/>
        </w:rPr>
        <w:t xml:space="preserve"> </w:t>
      </w:r>
      <w:r w:rsidRPr="00217ADC">
        <w:rPr>
          <w:rFonts w:ascii="David" w:hAnsi="David" w:cs="David"/>
          <w:sz w:val="24"/>
          <w:szCs w:val="24"/>
          <w:rtl/>
        </w:rPr>
        <w:t xml:space="preserve">הרשויות. </w:t>
      </w:r>
    </w:p>
    <w:p w:rsidR="003C4FD6" w:rsidRPr="00217ADC" w:rsidRDefault="003C4FD6" w:rsidP="008766BE">
      <w:pPr>
        <w:rPr>
          <w:rFonts w:ascii="David" w:hAnsi="David" w:cs="David"/>
          <w:sz w:val="24"/>
          <w:szCs w:val="24"/>
          <w:rtl/>
        </w:rPr>
      </w:pPr>
    </w:p>
    <w:p w:rsidR="003C4FD6" w:rsidRPr="00217ADC" w:rsidRDefault="003C4FD6" w:rsidP="008766BE">
      <w:pPr>
        <w:pStyle w:val="a3"/>
        <w:numPr>
          <w:ilvl w:val="0"/>
          <w:numId w:val="2"/>
        </w:numPr>
        <w:spacing w:after="0"/>
        <w:jc w:val="both"/>
        <w:rPr>
          <w:rFonts w:ascii="David" w:hAnsi="David" w:cs="David"/>
          <w:sz w:val="24"/>
          <w:szCs w:val="24"/>
          <w:rtl/>
        </w:rPr>
      </w:pPr>
      <w:r w:rsidRPr="00217ADC">
        <w:rPr>
          <w:rFonts w:ascii="David" w:hAnsi="David" w:cs="David"/>
          <w:sz w:val="24"/>
          <w:szCs w:val="24"/>
          <w:rtl/>
        </w:rPr>
        <w:t xml:space="preserve">במילים אחרות, במסגרת בירור הבקשה, בית הדין </w:t>
      </w:r>
      <w:r w:rsidRPr="00217ADC">
        <w:rPr>
          <w:rFonts w:ascii="David" w:hAnsi="David" w:cs="David"/>
          <w:b/>
          <w:bCs/>
          <w:sz w:val="24"/>
          <w:szCs w:val="24"/>
          <w:rtl/>
        </w:rPr>
        <w:t>אינו</w:t>
      </w:r>
      <w:r w:rsidRPr="00217ADC">
        <w:rPr>
          <w:rFonts w:ascii="David" w:hAnsi="David" w:cs="David"/>
          <w:sz w:val="24"/>
          <w:szCs w:val="24"/>
          <w:rtl/>
        </w:rPr>
        <w:t xml:space="preserve"> </w:t>
      </w:r>
      <w:r w:rsidRPr="00217ADC">
        <w:rPr>
          <w:rFonts w:ascii="David" w:hAnsi="David" w:cs="David"/>
          <w:b/>
          <w:bCs/>
          <w:sz w:val="24"/>
          <w:szCs w:val="24"/>
          <w:rtl/>
        </w:rPr>
        <w:t>קובע קביעה ערכית בדבר מהות השיקולים או ההתאמה המקצועית של התובע לתפקידו</w:t>
      </w:r>
      <w:r w:rsidRPr="00217ADC">
        <w:rPr>
          <w:rFonts w:ascii="David" w:hAnsi="David" w:cs="David"/>
          <w:sz w:val="24"/>
          <w:szCs w:val="24"/>
          <w:rtl/>
        </w:rPr>
        <w:t xml:space="preserve">, אלא בוחן </w:t>
      </w:r>
      <w:r w:rsidR="00217ADC" w:rsidRPr="00217ADC">
        <w:rPr>
          <w:rFonts w:ascii="David" w:hAnsi="David" w:cs="David"/>
          <w:sz w:val="24"/>
          <w:szCs w:val="24"/>
          <w:rtl/>
        </w:rPr>
        <w:t xml:space="preserve">הוא </w:t>
      </w:r>
      <w:r w:rsidRPr="00217ADC">
        <w:rPr>
          <w:rFonts w:ascii="David" w:hAnsi="David" w:cs="David"/>
          <w:sz w:val="24"/>
          <w:szCs w:val="24"/>
          <w:rtl/>
        </w:rPr>
        <w:t xml:space="preserve">את סבירות ההחלטה המינהלית בדיעבד, באספקלריה מינהלית. ראה: ע"ע 1123/01 </w:t>
      </w:r>
      <w:r w:rsidRPr="00217ADC">
        <w:rPr>
          <w:rFonts w:ascii="David" w:hAnsi="David" w:cs="David"/>
          <w:b/>
          <w:bCs/>
          <w:sz w:val="24"/>
          <w:szCs w:val="24"/>
          <w:rtl/>
        </w:rPr>
        <w:t>בית הספר תיכון עירוני כל ישראל חברים בתל אביב יפו נ' צויזנר</w:t>
      </w:r>
      <w:r w:rsidRPr="00217ADC">
        <w:rPr>
          <w:rFonts w:ascii="David" w:hAnsi="David" w:cs="David"/>
          <w:sz w:val="24"/>
          <w:szCs w:val="24"/>
          <w:rtl/>
        </w:rPr>
        <w:t xml:space="preserve">, פד"ע לו 438 (סעיפים 58 ו-61 לפסק הדין). </w:t>
      </w:r>
    </w:p>
    <w:p w:rsidR="00217ADC" w:rsidRDefault="00217ADC" w:rsidP="00217ADC">
      <w:pPr>
        <w:pStyle w:val="a3"/>
        <w:spacing w:line="360" w:lineRule="auto"/>
        <w:ind w:left="360"/>
        <w:rPr>
          <w:rFonts w:ascii="David" w:hAnsi="David" w:cs="David"/>
          <w:sz w:val="24"/>
          <w:szCs w:val="24"/>
        </w:rPr>
      </w:pPr>
    </w:p>
    <w:p w:rsidR="008766BE" w:rsidRDefault="00217ADC" w:rsidP="008766BE">
      <w:pPr>
        <w:pStyle w:val="a3"/>
        <w:numPr>
          <w:ilvl w:val="0"/>
          <w:numId w:val="2"/>
        </w:numPr>
        <w:spacing w:line="360" w:lineRule="auto"/>
        <w:jc w:val="both"/>
        <w:rPr>
          <w:rFonts w:ascii="David" w:hAnsi="David" w:cs="David"/>
          <w:sz w:val="24"/>
          <w:szCs w:val="24"/>
        </w:rPr>
      </w:pPr>
      <w:r w:rsidRPr="00217ADC">
        <w:rPr>
          <w:rFonts w:ascii="David" w:hAnsi="David" w:cs="David"/>
          <w:sz w:val="24"/>
          <w:szCs w:val="24"/>
          <w:rtl/>
        </w:rPr>
        <w:t xml:space="preserve">בענייננו, </w:t>
      </w:r>
      <w:r w:rsidR="008766BE">
        <w:rPr>
          <w:rFonts w:ascii="David" w:hAnsi="David" w:cs="David" w:hint="cs"/>
          <w:sz w:val="24"/>
          <w:szCs w:val="24"/>
          <w:rtl/>
        </w:rPr>
        <w:t xml:space="preserve">מתוך תשובה זו והתצהירים התומכים בה, עולה, ולו לכאורה, כי החלטת המשיבה על העברת המבקש הנה סבירה ומידתית ולא נפל בה כל פגם המצדיק את ביטולה והשבתו של המבקש למחלקת השינוע.  </w:t>
      </w:r>
    </w:p>
    <w:p w:rsidR="008766BE" w:rsidRPr="008766BE" w:rsidRDefault="008766BE" w:rsidP="008766BE">
      <w:pPr>
        <w:pStyle w:val="a3"/>
        <w:jc w:val="both"/>
        <w:rPr>
          <w:rFonts w:ascii="David" w:hAnsi="David" w:cs="David"/>
          <w:sz w:val="24"/>
          <w:szCs w:val="24"/>
          <w:rtl/>
        </w:rPr>
      </w:pPr>
    </w:p>
    <w:p w:rsidR="00217ADC" w:rsidRDefault="00217ADC" w:rsidP="008766BE">
      <w:pPr>
        <w:pStyle w:val="a3"/>
        <w:numPr>
          <w:ilvl w:val="0"/>
          <w:numId w:val="2"/>
        </w:numPr>
        <w:spacing w:line="360" w:lineRule="auto"/>
        <w:jc w:val="both"/>
        <w:rPr>
          <w:rFonts w:ascii="David" w:hAnsi="David" w:cs="David"/>
          <w:sz w:val="24"/>
          <w:szCs w:val="24"/>
        </w:rPr>
      </w:pPr>
      <w:r w:rsidRPr="00217ADC">
        <w:rPr>
          <w:rFonts w:ascii="David" w:hAnsi="David" w:cs="David"/>
          <w:sz w:val="24"/>
          <w:szCs w:val="24"/>
          <w:rtl/>
        </w:rPr>
        <w:t xml:space="preserve">למשיבה </w:t>
      </w:r>
      <w:r w:rsidR="008766BE">
        <w:rPr>
          <w:rFonts w:ascii="David" w:hAnsi="David" w:cs="David" w:hint="cs"/>
          <w:sz w:val="24"/>
          <w:szCs w:val="24"/>
          <w:rtl/>
        </w:rPr>
        <w:t xml:space="preserve">אף עומדת </w:t>
      </w:r>
      <w:r w:rsidRPr="00217ADC">
        <w:rPr>
          <w:rFonts w:ascii="David" w:hAnsi="David" w:cs="David"/>
          <w:sz w:val="24"/>
          <w:szCs w:val="24"/>
          <w:rtl/>
        </w:rPr>
        <w:t>חזקת תקינות ההחלטה המנהלית</w:t>
      </w:r>
      <w:r>
        <w:rPr>
          <w:rFonts w:ascii="David" w:hAnsi="David" w:cs="David" w:hint="cs"/>
          <w:sz w:val="24"/>
          <w:szCs w:val="24"/>
          <w:rtl/>
        </w:rPr>
        <w:t>,</w:t>
      </w:r>
      <w:r w:rsidRPr="00217ADC">
        <w:rPr>
          <w:rFonts w:ascii="David" w:hAnsi="David" w:cs="David"/>
          <w:sz w:val="24"/>
          <w:szCs w:val="24"/>
          <w:rtl/>
        </w:rPr>
        <w:t xml:space="preserve"> המצטרפת לטענות המשיבה המצדיקות </w:t>
      </w:r>
      <w:r>
        <w:rPr>
          <w:rFonts w:ascii="David" w:hAnsi="David" w:cs="David" w:hint="cs"/>
          <w:sz w:val="24"/>
          <w:szCs w:val="24"/>
          <w:rtl/>
        </w:rPr>
        <w:t xml:space="preserve">ואף מחייבות </w:t>
      </w:r>
      <w:r w:rsidRPr="00217ADC">
        <w:rPr>
          <w:rFonts w:ascii="David" w:hAnsi="David" w:cs="David"/>
          <w:sz w:val="24"/>
          <w:szCs w:val="24"/>
          <w:rtl/>
        </w:rPr>
        <w:t xml:space="preserve">את הקביעה כי מאזן הנוחות  מחייב את דחיית הבקשה דנן. </w:t>
      </w:r>
      <w:r w:rsidR="008766BE">
        <w:rPr>
          <w:rFonts w:ascii="David" w:hAnsi="David" w:cs="David" w:hint="cs"/>
          <w:sz w:val="24"/>
          <w:szCs w:val="24"/>
          <w:rtl/>
        </w:rPr>
        <w:t xml:space="preserve"> </w:t>
      </w:r>
    </w:p>
    <w:p w:rsidR="008766BE" w:rsidRPr="008766BE" w:rsidRDefault="008766BE" w:rsidP="008766BE">
      <w:pPr>
        <w:pStyle w:val="a3"/>
        <w:rPr>
          <w:rFonts w:ascii="David" w:hAnsi="David" w:cs="David"/>
          <w:sz w:val="24"/>
          <w:szCs w:val="24"/>
          <w:rtl/>
        </w:rPr>
      </w:pPr>
    </w:p>
    <w:p w:rsidR="00217ADC" w:rsidRPr="008766BE" w:rsidRDefault="00217ADC" w:rsidP="008766BE">
      <w:pPr>
        <w:pStyle w:val="a3"/>
        <w:numPr>
          <w:ilvl w:val="0"/>
          <w:numId w:val="2"/>
        </w:numPr>
        <w:spacing w:line="360" w:lineRule="auto"/>
        <w:jc w:val="both"/>
        <w:rPr>
          <w:rFonts w:ascii="David" w:hAnsi="David" w:cs="David"/>
          <w:b/>
          <w:bCs/>
          <w:sz w:val="24"/>
          <w:szCs w:val="24"/>
          <w:rtl/>
        </w:rPr>
      </w:pPr>
      <w:r w:rsidRPr="008766BE">
        <w:rPr>
          <w:rFonts w:ascii="David" w:hAnsi="David" w:cs="David"/>
          <w:b/>
          <w:bCs/>
          <w:sz w:val="24"/>
          <w:szCs w:val="24"/>
          <w:rtl/>
        </w:rPr>
        <w:t xml:space="preserve">אשר על-כן, מתבקש בית הדין הנכבד לדחות את הבקשה למתן סעד זמני ולחייב את המבקש בהוצאות המשיבה בהליך זה, לרבות בשכ"ט עו"ד כחוק.   </w:t>
      </w:r>
    </w:p>
    <w:p w:rsidR="00217ADC" w:rsidRDefault="00EB2A78" w:rsidP="00EB2A78">
      <w:pPr>
        <w:jc w:val="both"/>
        <w:rPr>
          <w:rFonts w:ascii="David" w:hAnsi="David" w:cs="David"/>
          <w:sz w:val="24"/>
          <w:szCs w:val="24"/>
          <w:rtl/>
        </w:rPr>
      </w:pPr>
      <w:r w:rsidRPr="00B14240">
        <w:rPr>
          <w:rFonts w:cs="Arial"/>
          <w:noProof/>
          <w:sz w:val="24"/>
          <w:szCs w:val="24"/>
          <w:rtl/>
        </w:rPr>
        <w:drawing>
          <wp:anchor distT="0" distB="0" distL="114300" distR="114300" simplePos="0" relativeHeight="251659264" behindDoc="0" locked="0" layoutInCell="1" allowOverlap="1" wp14:anchorId="28691CD9" wp14:editId="63848C3E">
            <wp:simplePos x="0" y="0"/>
            <wp:positionH relativeFrom="column">
              <wp:posOffset>458674</wp:posOffset>
            </wp:positionH>
            <wp:positionV relativeFrom="paragraph">
              <wp:posOffset>460324</wp:posOffset>
            </wp:positionV>
            <wp:extent cx="1009650" cy="405130"/>
            <wp:effectExtent l="0" t="0" r="0" b="0"/>
            <wp:wrapNone/>
            <wp:docPr id="2" name="תמונה 2" descr="C:\Users\osnata\Desktop\חתימ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nata\Desktop\חתימה.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405130"/>
                    </a:xfrm>
                    <a:prstGeom prst="rect">
                      <a:avLst/>
                    </a:prstGeom>
                    <a:noFill/>
                    <a:ln>
                      <a:noFill/>
                    </a:ln>
                  </pic:spPr>
                </pic:pic>
              </a:graphicData>
            </a:graphic>
            <wp14:sizeRelH relativeFrom="page">
              <wp14:pctWidth>0</wp14:pctWidth>
            </wp14:sizeRelH>
            <wp14:sizeRelV relativeFrom="page">
              <wp14:pctHeight>0</wp14:pctHeight>
            </wp14:sizeRelV>
          </wp:anchor>
        </w:drawing>
      </w:r>
      <w:r w:rsidR="008766BE">
        <w:rPr>
          <w:rFonts w:ascii="David" w:hAnsi="David" w:cs="David" w:hint="cs"/>
          <w:sz w:val="24"/>
          <w:szCs w:val="24"/>
          <w:rtl/>
        </w:rPr>
        <w:t xml:space="preserve">*** מצ"ב </w:t>
      </w:r>
      <w:r w:rsidR="008766BE" w:rsidRPr="008766BE">
        <w:rPr>
          <w:rFonts w:ascii="David" w:hAnsi="David" w:cs="David"/>
          <w:sz w:val="24"/>
          <w:szCs w:val="24"/>
          <w:rtl/>
        </w:rPr>
        <w:t>תצהירם של מנהל משאבי אנוש, מר אלי בן שלוש ומנהל מחלקת שינוע ותחבורה, מר אביעד קרן</w:t>
      </w:r>
      <w:r w:rsidR="008766BE">
        <w:rPr>
          <w:rFonts w:ascii="David" w:hAnsi="David" w:cs="David" w:hint="cs"/>
          <w:sz w:val="24"/>
          <w:szCs w:val="24"/>
          <w:rtl/>
        </w:rPr>
        <w:t>, על כל נספחיהם</w:t>
      </w:r>
      <w:r w:rsidR="008766BE" w:rsidRPr="008766BE">
        <w:rPr>
          <w:rFonts w:ascii="David" w:hAnsi="David" w:cs="David"/>
          <w:sz w:val="24"/>
          <w:szCs w:val="24"/>
          <w:rtl/>
        </w:rPr>
        <w:t xml:space="preserve">. </w:t>
      </w:r>
    </w:p>
    <w:p w:rsidR="00EB2A78" w:rsidRDefault="00EB2A78" w:rsidP="00217ADC">
      <w:pPr>
        <w:ind w:left="5760"/>
        <w:rPr>
          <w:rFonts w:ascii="David" w:hAnsi="David" w:cs="David"/>
          <w:sz w:val="24"/>
          <w:szCs w:val="24"/>
          <w:rtl/>
        </w:rPr>
      </w:pPr>
    </w:p>
    <w:p w:rsidR="00217ADC" w:rsidRDefault="00217ADC" w:rsidP="00217ADC">
      <w:pPr>
        <w:ind w:left="5760"/>
        <w:rPr>
          <w:rFonts w:ascii="David" w:hAnsi="David" w:cs="David"/>
          <w:sz w:val="24"/>
          <w:szCs w:val="24"/>
          <w:rtl/>
        </w:rPr>
      </w:pPr>
      <w:r>
        <w:rPr>
          <w:rFonts w:ascii="David" w:hAnsi="David" w:cs="David" w:hint="cs"/>
          <w:sz w:val="24"/>
          <w:szCs w:val="24"/>
          <w:rtl/>
        </w:rPr>
        <w:t>_________________</w:t>
      </w:r>
    </w:p>
    <w:p w:rsidR="00217ADC" w:rsidRDefault="00217ADC" w:rsidP="00217ADC">
      <w:pPr>
        <w:ind w:left="5760"/>
        <w:rPr>
          <w:rFonts w:ascii="David" w:hAnsi="David" w:cs="David"/>
          <w:sz w:val="24"/>
          <w:szCs w:val="24"/>
          <w:rtl/>
        </w:rPr>
      </w:pPr>
      <w:r>
        <w:rPr>
          <w:rFonts w:ascii="David" w:hAnsi="David" w:cs="David" w:hint="cs"/>
          <w:sz w:val="24"/>
          <w:szCs w:val="24"/>
          <w:rtl/>
        </w:rPr>
        <w:t xml:space="preserve">   אסנת שושני, עו"ד </w:t>
      </w:r>
    </w:p>
    <w:p w:rsidR="00811416" w:rsidRPr="00217ADC" w:rsidRDefault="00217ADC" w:rsidP="00EB2A78">
      <w:pPr>
        <w:ind w:left="5760"/>
        <w:rPr>
          <w:rFonts w:ascii="David" w:hAnsi="David" w:cs="David"/>
          <w:sz w:val="24"/>
          <w:szCs w:val="24"/>
        </w:rPr>
      </w:pPr>
      <w:r>
        <w:rPr>
          <w:rFonts w:ascii="David" w:hAnsi="David" w:cs="David" w:hint="cs"/>
          <w:sz w:val="24"/>
          <w:szCs w:val="24"/>
          <w:rtl/>
        </w:rPr>
        <w:t xml:space="preserve">      ב"כ המשיבה </w:t>
      </w:r>
    </w:p>
    <w:sectPr w:rsidR="00811416" w:rsidRPr="00217ADC" w:rsidSect="001F1B5F">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ADC" w:rsidRDefault="00217ADC" w:rsidP="00217ADC">
      <w:pPr>
        <w:spacing w:after="0" w:line="240" w:lineRule="auto"/>
      </w:pPr>
      <w:r>
        <w:separator/>
      </w:r>
    </w:p>
  </w:endnote>
  <w:endnote w:type="continuationSeparator" w:id="0">
    <w:p w:rsidR="00217ADC" w:rsidRDefault="00217ADC" w:rsidP="0021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3777999"/>
      <w:docPartObj>
        <w:docPartGallery w:val="Page Numbers (Bottom of Page)"/>
        <w:docPartUnique/>
      </w:docPartObj>
    </w:sdtPr>
    <w:sdtEndPr>
      <w:rPr>
        <w:cs/>
      </w:rPr>
    </w:sdtEndPr>
    <w:sdtContent>
      <w:p w:rsidR="00217ADC" w:rsidRDefault="00217ADC">
        <w:pPr>
          <w:pStyle w:val="a6"/>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7C5FE9" w:rsidRPr="007C5FE9">
          <w:rPr>
            <w:noProof/>
            <w:rtl/>
            <w:lang w:val="he-IL"/>
          </w:rPr>
          <w:t>3</w:t>
        </w:r>
        <w:r>
          <w:fldChar w:fldCharType="end"/>
        </w:r>
      </w:p>
    </w:sdtContent>
  </w:sdt>
  <w:p w:rsidR="00217ADC" w:rsidRDefault="00217A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ADC" w:rsidRDefault="00217ADC" w:rsidP="00217ADC">
      <w:pPr>
        <w:spacing w:after="0" w:line="240" w:lineRule="auto"/>
      </w:pPr>
      <w:r>
        <w:separator/>
      </w:r>
    </w:p>
  </w:footnote>
  <w:footnote w:type="continuationSeparator" w:id="0">
    <w:p w:rsidR="00217ADC" w:rsidRDefault="00217ADC" w:rsidP="00217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720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AF42F7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416"/>
    <w:rsid w:val="001F1B5F"/>
    <w:rsid w:val="00217ADC"/>
    <w:rsid w:val="003260EE"/>
    <w:rsid w:val="003C4FD6"/>
    <w:rsid w:val="00795A67"/>
    <w:rsid w:val="007C5FE9"/>
    <w:rsid w:val="00811416"/>
    <w:rsid w:val="008766BE"/>
    <w:rsid w:val="00A60E00"/>
    <w:rsid w:val="00C93B81"/>
    <w:rsid w:val="00D60388"/>
    <w:rsid w:val="00EB2A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ADC"/>
    <w:pPr>
      <w:ind w:left="720"/>
      <w:contextualSpacing/>
    </w:pPr>
  </w:style>
  <w:style w:type="paragraph" w:styleId="a4">
    <w:name w:val="header"/>
    <w:basedOn w:val="a"/>
    <w:link w:val="a5"/>
    <w:uiPriority w:val="99"/>
    <w:unhideWhenUsed/>
    <w:rsid w:val="00217ADC"/>
    <w:pPr>
      <w:tabs>
        <w:tab w:val="center" w:pos="4153"/>
        <w:tab w:val="right" w:pos="8306"/>
      </w:tabs>
      <w:spacing w:after="0" w:line="240" w:lineRule="auto"/>
    </w:pPr>
  </w:style>
  <w:style w:type="character" w:customStyle="1" w:styleId="a5">
    <w:name w:val="כותרת עליונה תו"/>
    <w:basedOn w:val="a0"/>
    <w:link w:val="a4"/>
    <w:uiPriority w:val="99"/>
    <w:rsid w:val="00217ADC"/>
  </w:style>
  <w:style w:type="paragraph" w:styleId="a6">
    <w:name w:val="footer"/>
    <w:basedOn w:val="a"/>
    <w:link w:val="a7"/>
    <w:uiPriority w:val="99"/>
    <w:unhideWhenUsed/>
    <w:rsid w:val="00217ADC"/>
    <w:pPr>
      <w:tabs>
        <w:tab w:val="center" w:pos="4153"/>
        <w:tab w:val="right" w:pos="8306"/>
      </w:tabs>
      <w:spacing w:after="0" w:line="240" w:lineRule="auto"/>
    </w:pPr>
  </w:style>
  <w:style w:type="character" w:customStyle="1" w:styleId="a7">
    <w:name w:val="כותרת תחתונה תו"/>
    <w:basedOn w:val="a0"/>
    <w:link w:val="a6"/>
    <w:uiPriority w:val="99"/>
    <w:rsid w:val="00217A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ADC"/>
    <w:pPr>
      <w:ind w:left="720"/>
      <w:contextualSpacing/>
    </w:pPr>
  </w:style>
  <w:style w:type="paragraph" w:styleId="a4">
    <w:name w:val="header"/>
    <w:basedOn w:val="a"/>
    <w:link w:val="a5"/>
    <w:uiPriority w:val="99"/>
    <w:unhideWhenUsed/>
    <w:rsid w:val="00217ADC"/>
    <w:pPr>
      <w:tabs>
        <w:tab w:val="center" w:pos="4153"/>
        <w:tab w:val="right" w:pos="8306"/>
      </w:tabs>
      <w:spacing w:after="0" w:line="240" w:lineRule="auto"/>
    </w:pPr>
  </w:style>
  <w:style w:type="character" w:customStyle="1" w:styleId="a5">
    <w:name w:val="כותרת עליונה תו"/>
    <w:basedOn w:val="a0"/>
    <w:link w:val="a4"/>
    <w:uiPriority w:val="99"/>
    <w:rsid w:val="00217ADC"/>
  </w:style>
  <w:style w:type="paragraph" w:styleId="a6">
    <w:name w:val="footer"/>
    <w:basedOn w:val="a"/>
    <w:link w:val="a7"/>
    <w:uiPriority w:val="99"/>
    <w:unhideWhenUsed/>
    <w:rsid w:val="00217ADC"/>
    <w:pPr>
      <w:tabs>
        <w:tab w:val="center" w:pos="4153"/>
        <w:tab w:val="right" w:pos="8306"/>
      </w:tabs>
      <w:spacing w:after="0" w:line="240" w:lineRule="auto"/>
    </w:pPr>
  </w:style>
  <w:style w:type="character" w:customStyle="1" w:styleId="a7">
    <w:name w:val="כותרת תחתונה תו"/>
    <w:basedOn w:val="a0"/>
    <w:link w:val="a6"/>
    <w:uiPriority w:val="99"/>
    <w:rsid w:val="00217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5180</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Osnat Shoshani</dc:creator>
  <cp:lastModifiedBy>Osnat Shoshani</cp:lastModifiedBy>
  <cp:revision>2</cp:revision>
  <dcterms:created xsi:type="dcterms:W3CDTF">2018-06-03T07:08:00Z</dcterms:created>
  <dcterms:modified xsi:type="dcterms:W3CDTF">2018-06-03T07:08:00Z</dcterms:modified>
</cp:coreProperties>
</file>